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53B58" w14:textId="7D91BB9D" w:rsidR="00904E56" w:rsidRPr="00D33DF7" w:rsidRDefault="00D62C7C" w:rsidP="000173D1">
      <w:pPr>
        <w:tabs>
          <w:tab w:val="center" w:pos="4536"/>
          <w:tab w:val="right" w:pos="9072"/>
        </w:tabs>
        <w:spacing w:after="0" w:line="264" w:lineRule="auto"/>
        <w:jc w:val="right"/>
        <w:rPr>
          <w:rFonts w:ascii="Verdana" w:eastAsia="Calibri" w:hAnsi="Verdana" w:cs="Arial"/>
          <w:sz w:val="18"/>
          <w:szCs w:val="18"/>
          <w:lang w:val="en-GB" w:eastAsia="pl-PL"/>
        </w:rPr>
      </w:pPr>
      <w:bookmarkStart w:id="0" w:name="_Hlk66112395"/>
      <w:bookmarkStart w:id="1" w:name="_Hlk195601439"/>
      <w:bookmarkStart w:id="2" w:name="_Hlk213949819"/>
      <w:r w:rsidRPr="00D33DF7">
        <w:rPr>
          <w:rFonts w:ascii="Verdana" w:hAnsi="Verdana" w:cs="Arial"/>
          <w:sz w:val="18"/>
          <w:szCs w:val="18"/>
          <w:lang w:val="en-GB"/>
        </w:rPr>
        <w:t>Warsaw</w:t>
      </w:r>
      <w:r w:rsidR="00904E56" w:rsidRPr="00D33DF7">
        <w:rPr>
          <w:rFonts w:ascii="Verdana" w:hAnsi="Verdana" w:cs="Arial"/>
          <w:sz w:val="18"/>
          <w:szCs w:val="18"/>
          <w:lang w:val="en-GB"/>
        </w:rPr>
        <w:t xml:space="preserve">, </w:t>
      </w:r>
      <w:r w:rsidR="003A7274" w:rsidRPr="00D33DF7">
        <w:rPr>
          <w:rFonts w:ascii="Verdana" w:hAnsi="Verdana" w:cs="Arial"/>
          <w:sz w:val="18"/>
          <w:szCs w:val="18"/>
          <w:lang w:val="en-GB"/>
        </w:rPr>
        <w:t>1</w:t>
      </w:r>
      <w:r w:rsidR="005A6AE2" w:rsidRPr="00D33DF7">
        <w:rPr>
          <w:rFonts w:ascii="Verdana" w:hAnsi="Verdana" w:cs="Arial"/>
          <w:sz w:val="18"/>
          <w:szCs w:val="18"/>
          <w:lang w:val="en-GB"/>
        </w:rPr>
        <w:t>7</w:t>
      </w:r>
      <w:r w:rsidR="113F1D72" w:rsidRPr="00D33DF7">
        <w:rPr>
          <w:rFonts w:ascii="Verdana" w:hAnsi="Verdana" w:cs="Arial"/>
          <w:sz w:val="18"/>
          <w:szCs w:val="18"/>
          <w:lang w:val="en-GB"/>
        </w:rPr>
        <w:t xml:space="preserve"> </w:t>
      </w:r>
      <w:r w:rsidRPr="00D33DF7">
        <w:rPr>
          <w:rFonts w:ascii="Verdana" w:hAnsi="Verdana" w:cs="Arial"/>
          <w:sz w:val="18"/>
          <w:szCs w:val="18"/>
          <w:lang w:val="en-GB"/>
        </w:rPr>
        <w:t>November</w:t>
      </w:r>
      <w:r w:rsidR="00650D9C" w:rsidRPr="00D33DF7">
        <w:rPr>
          <w:rFonts w:ascii="Verdana" w:hAnsi="Verdana" w:cs="Arial"/>
          <w:sz w:val="18"/>
          <w:szCs w:val="18"/>
          <w:lang w:val="en-GB"/>
        </w:rPr>
        <w:t xml:space="preserve"> </w:t>
      </w:r>
      <w:r w:rsidR="00F01465" w:rsidRPr="00D33DF7">
        <w:rPr>
          <w:rFonts w:ascii="Verdana" w:hAnsi="Verdana" w:cs="Arial"/>
          <w:sz w:val="18"/>
          <w:szCs w:val="18"/>
          <w:lang w:val="en-GB"/>
        </w:rPr>
        <w:t>20</w:t>
      </w:r>
      <w:r w:rsidR="003D191E" w:rsidRPr="00D33DF7">
        <w:rPr>
          <w:rFonts w:ascii="Verdana" w:hAnsi="Verdana" w:cs="Arial"/>
          <w:sz w:val="18"/>
          <w:szCs w:val="18"/>
          <w:lang w:val="en-GB"/>
        </w:rPr>
        <w:t>2</w:t>
      </w:r>
      <w:r w:rsidR="00304582" w:rsidRPr="00D33DF7">
        <w:rPr>
          <w:rFonts w:ascii="Verdana" w:hAnsi="Verdana" w:cs="Arial"/>
          <w:sz w:val="18"/>
          <w:szCs w:val="18"/>
          <w:lang w:val="en-GB"/>
        </w:rPr>
        <w:t>5</w:t>
      </w:r>
      <w:r w:rsidR="00904E56" w:rsidRPr="00D33DF7">
        <w:rPr>
          <w:rFonts w:ascii="Verdana" w:hAnsi="Verdana" w:cs="Arial"/>
          <w:sz w:val="18"/>
          <w:szCs w:val="18"/>
          <w:lang w:val="en-GB"/>
        </w:rPr>
        <w:t xml:space="preserve"> </w:t>
      </w:r>
    </w:p>
    <w:bookmarkEnd w:id="0"/>
    <w:p w14:paraId="22332385" w14:textId="77777777" w:rsidR="00AC4497" w:rsidRPr="00D33DF7" w:rsidRDefault="00AC4497" w:rsidP="000276DB">
      <w:pPr>
        <w:spacing w:after="0" w:line="22" w:lineRule="atLeast"/>
        <w:jc w:val="both"/>
        <w:rPr>
          <w:rFonts w:ascii="Verdana" w:hAnsi="Verdana" w:cs="Arial"/>
          <w:b/>
          <w:color w:val="5B9BD5" w:themeColor="accent1"/>
          <w:sz w:val="26"/>
          <w:szCs w:val="26"/>
          <w:lang w:val="en-GB"/>
        </w:rPr>
      </w:pPr>
    </w:p>
    <w:p w14:paraId="5F27AFC2" w14:textId="77777777" w:rsidR="0071498A" w:rsidRPr="00D33DF7" w:rsidRDefault="0071498A" w:rsidP="000276DB">
      <w:pPr>
        <w:spacing w:after="0" w:line="22" w:lineRule="atLeast"/>
        <w:jc w:val="both"/>
        <w:rPr>
          <w:rFonts w:ascii="Verdana" w:hAnsi="Verdana" w:cs="Arial"/>
          <w:b/>
          <w:color w:val="5B9BD5" w:themeColor="accent1"/>
          <w:sz w:val="26"/>
          <w:szCs w:val="26"/>
          <w:lang w:val="en-GB"/>
        </w:rPr>
      </w:pPr>
    </w:p>
    <w:p w14:paraId="6BD6B70C" w14:textId="77777777" w:rsidR="000276DB" w:rsidRPr="00D33DF7" w:rsidRDefault="000276DB" w:rsidP="000276DB">
      <w:pPr>
        <w:spacing w:after="0" w:line="22" w:lineRule="atLeast"/>
        <w:jc w:val="both"/>
        <w:rPr>
          <w:rFonts w:ascii="Verdana" w:hAnsi="Verdana" w:cs="Arial"/>
          <w:b/>
          <w:color w:val="5B9BD5" w:themeColor="accent1"/>
          <w:sz w:val="26"/>
          <w:szCs w:val="26"/>
          <w:lang w:val="en-GB"/>
        </w:rPr>
      </w:pPr>
    </w:p>
    <w:p w14:paraId="3B434E79" w14:textId="43065604" w:rsidR="009E6DB6" w:rsidRPr="00D33DF7" w:rsidRDefault="009E6DB6" w:rsidP="00BE333F">
      <w:pPr>
        <w:spacing w:after="0" w:line="22" w:lineRule="atLeast"/>
        <w:rPr>
          <w:rFonts w:ascii="Verdana" w:hAnsi="Verdana" w:cs="Arial"/>
          <w:bCs/>
          <w:color w:val="5B9BD5" w:themeColor="accent1"/>
          <w:lang w:val="en-GB" w:eastAsia="pl-PL"/>
        </w:rPr>
      </w:pPr>
      <w:bookmarkStart w:id="3" w:name="_Hlk212633671"/>
      <w:bookmarkEnd w:id="1"/>
      <w:r w:rsidRPr="00D33DF7">
        <w:rPr>
          <w:rFonts w:ascii="Verdana" w:hAnsi="Verdana" w:cs="Arial"/>
          <w:b/>
          <w:color w:val="5B9BD5" w:themeColor="accent1"/>
          <w:sz w:val="26"/>
          <w:szCs w:val="26"/>
          <w:lang w:val="en-GB"/>
        </w:rPr>
        <w:t>Another Strong Quarter of GPW Group</w:t>
      </w:r>
    </w:p>
    <w:p w14:paraId="548D3232" w14:textId="77777777" w:rsidR="00FA54F6" w:rsidRPr="00D33DF7" w:rsidRDefault="00FA54F6" w:rsidP="009A21D0">
      <w:pPr>
        <w:spacing w:after="0"/>
        <w:jc w:val="both"/>
        <w:rPr>
          <w:rFonts w:ascii="Verdana" w:hAnsi="Verdana" w:cs="Arial"/>
          <w:bCs/>
          <w:color w:val="5B9BD5" w:themeColor="accent1"/>
          <w:lang w:val="en-GB" w:eastAsia="pl-PL"/>
        </w:rPr>
      </w:pPr>
    </w:p>
    <w:bookmarkEnd w:id="3"/>
    <w:p w14:paraId="0DF136B6" w14:textId="0C2D99FB" w:rsidR="000A5166" w:rsidRPr="00D33DF7" w:rsidRDefault="000A5166" w:rsidP="000A5166">
      <w:pPr>
        <w:spacing w:after="0"/>
        <w:jc w:val="both"/>
        <w:rPr>
          <w:rFonts w:ascii="Verdana" w:hAnsi="Verdana" w:cs="Arial"/>
          <w:color w:val="5B9BD5" w:themeColor="accent1"/>
          <w:lang w:val="en-GB" w:eastAsia="pl-PL"/>
        </w:rPr>
      </w:pPr>
      <w:r w:rsidRPr="00D33DF7">
        <w:rPr>
          <w:rFonts w:ascii="Verdana" w:hAnsi="Verdana" w:cs="Arial"/>
          <w:color w:val="5B9BD5" w:themeColor="accent1"/>
          <w:lang w:val="en-GB" w:eastAsia="pl-PL"/>
        </w:rPr>
        <w:t>The highest share price in the history of the Warsaw Stock Exchange, record-high WIG perfo</w:t>
      </w:r>
      <w:r w:rsidR="007B2353" w:rsidRPr="00D33DF7">
        <w:rPr>
          <w:rFonts w:ascii="Verdana" w:hAnsi="Verdana" w:cs="Arial"/>
          <w:color w:val="5B9BD5" w:themeColor="accent1"/>
          <w:lang w:val="en-GB" w:eastAsia="pl-PL"/>
        </w:rPr>
        <w:t>r</w:t>
      </w:r>
      <w:r w:rsidRPr="00D33DF7">
        <w:rPr>
          <w:rFonts w:ascii="Verdana" w:hAnsi="Verdana" w:cs="Arial"/>
          <w:color w:val="5B9BD5" w:themeColor="accent1"/>
          <w:lang w:val="en-GB" w:eastAsia="pl-PL"/>
        </w:rPr>
        <w:t>mance, increased investor activity</w:t>
      </w:r>
      <w:r w:rsidR="00724397" w:rsidRPr="00D33DF7">
        <w:rPr>
          <w:rFonts w:ascii="Verdana" w:hAnsi="Verdana" w:cs="Arial"/>
          <w:color w:val="5B9BD5" w:themeColor="accent1"/>
          <w:lang w:val="en-GB" w:eastAsia="pl-PL"/>
        </w:rPr>
        <w:t>,</w:t>
      </w:r>
      <w:r w:rsidRPr="00D33DF7">
        <w:rPr>
          <w:rFonts w:ascii="Verdana" w:hAnsi="Verdana" w:cs="Arial"/>
          <w:color w:val="5B9BD5" w:themeColor="accent1"/>
          <w:lang w:val="en-GB" w:eastAsia="pl-PL"/>
        </w:rPr>
        <w:t xml:space="preserve"> and market development </w:t>
      </w:r>
      <w:r w:rsidR="00724397" w:rsidRPr="00D33DF7">
        <w:rPr>
          <w:rFonts w:ascii="Verdana" w:hAnsi="Verdana" w:cs="Arial"/>
          <w:color w:val="5B9BD5" w:themeColor="accent1"/>
          <w:lang w:val="en-GB" w:eastAsia="pl-PL"/>
        </w:rPr>
        <w:t>with</w:t>
      </w:r>
      <w:r w:rsidRPr="00D33DF7">
        <w:rPr>
          <w:rFonts w:ascii="Verdana" w:hAnsi="Verdana" w:cs="Arial"/>
          <w:color w:val="5B9BD5" w:themeColor="accent1"/>
          <w:lang w:val="en-GB" w:eastAsia="pl-PL"/>
        </w:rPr>
        <w:t xml:space="preserve"> new financial instruments and issuers</w:t>
      </w:r>
      <w:r w:rsidR="00724397" w:rsidRPr="00D33DF7">
        <w:rPr>
          <w:rFonts w:ascii="Verdana" w:hAnsi="Verdana" w:cs="Arial"/>
          <w:color w:val="5B9BD5" w:themeColor="accent1"/>
          <w:lang w:val="en-GB" w:eastAsia="pl-PL"/>
        </w:rPr>
        <w:t>: t</w:t>
      </w:r>
      <w:r w:rsidRPr="00D33DF7">
        <w:rPr>
          <w:rFonts w:ascii="Verdana" w:hAnsi="Verdana" w:cs="Arial"/>
          <w:color w:val="5B9BD5" w:themeColor="accent1"/>
          <w:lang w:val="en-GB" w:eastAsia="pl-PL"/>
        </w:rPr>
        <w:t xml:space="preserve">his is </w:t>
      </w:r>
      <w:r w:rsidR="00724397" w:rsidRPr="00D33DF7">
        <w:rPr>
          <w:rFonts w:ascii="Verdana" w:hAnsi="Verdana" w:cs="Arial"/>
          <w:color w:val="5B9BD5" w:themeColor="accent1"/>
          <w:lang w:val="en-GB" w:eastAsia="pl-PL"/>
        </w:rPr>
        <w:t>what Q3</w:t>
      </w:r>
      <w:r w:rsidRPr="00D33DF7">
        <w:rPr>
          <w:rFonts w:ascii="Verdana" w:hAnsi="Verdana" w:cs="Arial"/>
          <w:color w:val="5B9BD5" w:themeColor="accent1"/>
          <w:lang w:val="en-GB" w:eastAsia="pl-PL"/>
        </w:rPr>
        <w:t xml:space="preserve"> 2025 </w:t>
      </w:r>
      <w:r w:rsidR="00724397" w:rsidRPr="00D33DF7">
        <w:rPr>
          <w:rFonts w:ascii="Verdana" w:hAnsi="Verdana" w:cs="Arial"/>
          <w:color w:val="5B9BD5" w:themeColor="accent1"/>
          <w:lang w:val="en-GB" w:eastAsia="pl-PL"/>
        </w:rPr>
        <w:t>brought for</w:t>
      </w:r>
      <w:r w:rsidRPr="00D33DF7">
        <w:rPr>
          <w:rFonts w:ascii="Verdana" w:hAnsi="Verdana" w:cs="Arial"/>
          <w:color w:val="5B9BD5" w:themeColor="accent1"/>
          <w:lang w:val="en-GB" w:eastAsia="pl-PL"/>
        </w:rPr>
        <w:t xml:space="preserve"> the Warsaw Stock Exchange Group. The Group</w:t>
      </w:r>
      <w:r w:rsidR="00724397" w:rsidRPr="00D33DF7">
        <w:rPr>
          <w:rFonts w:ascii="Verdana" w:hAnsi="Verdana" w:cs="Arial"/>
          <w:color w:val="5B9BD5" w:themeColor="accent1"/>
          <w:lang w:val="en-GB" w:eastAsia="pl-PL"/>
        </w:rPr>
        <w:t>’</w:t>
      </w:r>
      <w:r w:rsidRPr="00D33DF7">
        <w:rPr>
          <w:rFonts w:ascii="Verdana" w:hAnsi="Verdana" w:cs="Arial"/>
          <w:color w:val="5B9BD5" w:themeColor="accent1"/>
          <w:lang w:val="en-GB" w:eastAsia="pl-PL"/>
        </w:rPr>
        <w:t>s revenue amounted to PLN 135.1 million, a 20.5% increase year</w:t>
      </w:r>
      <w:r w:rsidR="00724397" w:rsidRPr="00D33DF7">
        <w:rPr>
          <w:rFonts w:ascii="Verdana" w:hAnsi="Verdana" w:cs="Arial"/>
          <w:color w:val="5B9BD5" w:themeColor="accent1"/>
          <w:lang w:val="en-GB" w:eastAsia="pl-PL"/>
        </w:rPr>
        <w:t xml:space="preserve"> </w:t>
      </w:r>
      <w:r w:rsidRPr="00D33DF7">
        <w:rPr>
          <w:rFonts w:ascii="Verdana" w:hAnsi="Verdana" w:cs="Arial"/>
          <w:color w:val="5B9BD5" w:themeColor="accent1"/>
          <w:lang w:val="en-GB" w:eastAsia="pl-PL"/>
        </w:rPr>
        <w:t>on</w:t>
      </w:r>
      <w:r w:rsidR="00724397" w:rsidRPr="00D33DF7">
        <w:rPr>
          <w:rFonts w:ascii="Verdana" w:hAnsi="Verdana" w:cs="Arial"/>
          <w:color w:val="5B9BD5" w:themeColor="accent1"/>
          <w:lang w:val="en-GB" w:eastAsia="pl-PL"/>
        </w:rPr>
        <w:t xml:space="preserve"> </w:t>
      </w:r>
      <w:r w:rsidRPr="00D33DF7">
        <w:rPr>
          <w:rFonts w:ascii="Verdana" w:hAnsi="Verdana" w:cs="Arial"/>
          <w:color w:val="5B9BD5" w:themeColor="accent1"/>
          <w:lang w:val="en-GB" w:eastAsia="pl-PL"/>
        </w:rPr>
        <w:t>year. EBITDA increased by 39.1% year</w:t>
      </w:r>
      <w:r w:rsidR="00724397" w:rsidRPr="00D33DF7">
        <w:rPr>
          <w:rFonts w:ascii="Verdana" w:hAnsi="Verdana" w:cs="Arial"/>
          <w:color w:val="5B9BD5" w:themeColor="accent1"/>
          <w:lang w:val="en-GB" w:eastAsia="pl-PL"/>
        </w:rPr>
        <w:t xml:space="preserve"> </w:t>
      </w:r>
      <w:r w:rsidRPr="00D33DF7">
        <w:rPr>
          <w:rFonts w:ascii="Verdana" w:hAnsi="Verdana" w:cs="Arial"/>
          <w:color w:val="5B9BD5" w:themeColor="accent1"/>
          <w:lang w:val="en-GB" w:eastAsia="pl-PL"/>
        </w:rPr>
        <w:t>on</w:t>
      </w:r>
      <w:r w:rsidR="00724397" w:rsidRPr="00D33DF7">
        <w:rPr>
          <w:rFonts w:ascii="Verdana" w:hAnsi="Verdana" w:cs="Arial"/>
          <w:color w:val="5B9BD5" w:themeColor="accent1"/>
          <w:lang w:val="en-GB" w:eastAsia="pl-PL"/>
        </w:rPr>
        <w:t xml:space="preserve"> </w:t>
      </w:r>
      <w:r w:rsidRPr="00D33DF7">
        <w:rPr>
          <w:rFonts w:ascii="Verdana" w:hAnsi="Verdana" w:cs="Arial"/>
          <w:color w:val="5B9BD5" w:themeColor="accent1"/>
          <w:lang w:val="en-GB" w:eastAsia="pl-PL"/>
        </w:rPr>
        <w:t>year to PLN 53.8 million</w:t>
      </w:r>
      <w:r w:rsidR="008A7F77" w:rsidRPr="00D33DF7">
        <w:rPr>
          <w:rFonts w:ascii="Verdana" w:hAnsi="Verdana" w:cs="Arial"/>
          <w:color w:val="5B9BD5" w:themeColor="accent1"/>
          <w:lang w:val="en-GB" w:eastAsia="pl-PL"/>
        </w:rPr>
        <w:t>. N</w:t>
      </w:r>
      <w:r w:rsidRPr="00D33DF7">
        <w:rPr>
          <w:rFonts w:ascii="Verdana" w:hAnsi="Verdana" w:cs="Arial"/>
          <w:color w:val="5B9BD5" w:themeColor="accent1"/>
          <w:lang w:val="en-GB" w:eastAsia="pl-PL"/>
        </w:rPr>
        <w:t xml:space="preserve">et profit </w:t>
      </w:r>
      <w:r w:rsidR="008A7F77" w:rsidRPr="00D33DF7">
        <w:rPr>
          <w:rFonts w:ascii="Verdana" w:hAnsi="Verdana" w:cs="Arial"/>
          <w:color w:val="5B9BD5" w:themeColor="accent1"/>
          <w:lang w:val="en-GB" w:eastAsia="pl-PL"/>
        </w:rPr>
        <w:t xml:space="preserve">increased </w:t>
      </w:r>
      <w:r w:rsidRPr="00D33DF7">
        <w:rPr>
          <w:rFonts w:ascii="Verdana" w:hAnsi="Verdana" w:cs="Arial"/>
          <w:color w:val="5B9BD5" w:themeColor="accent1"/>
          <w:lang w:val="en-GB" w:eastAsia="pl-PL"/>
        </w:rPr>
        <w:t>by 29.5% year</w:t>
      </w:r>
      <w:r w:rsidR="00724397" w:rsidRPr="00D33DF7">
        <w:rPr>
          <w:rFonts w:ascii="Verdana" w:hAnsi="Verdana" w:cs="Arial"/>
          <w:color w:val="5B9BD5" w:themeColor="accent1"/>
          <w:lang w:val="en-GB" w:eastAsia="pl-PL"/>
        </w:rPr>
        <w:t xml:space="preserve"> </w:t>
      </w:r>
      <w:r w:rsidRPr="00D33DF7">
        <w:rPr>
          <w:rFonts w:ascii="Verdana" w:hAnsi="Verdana" w:cs="Arial"/>
          <w:color w:val="5B9BD5" w:themeColor="accent1"/>
          <w:lang w:val="en-GB" w:eastAsia="pl-PL"/>
        </w:rPr>
        <w:t>on</w:t>
      </w:r>
      <w:r w:rsidR="00724397" w:rsidRPr="00D33DF7">
        <w:rPr>
          <w:rFonts w:ascii="Verdana" w:hAnsi="Verdana" w:cs="Arial"/>
          <w:color w:val="5B9BD5" w:themeColor="accent1"/>
          <w:lang w:val="en-GB" w:eastAsia="pl-PL"/>
        </w:rPr>
        <w:t xml:space="preserve"> </w:t>
      </w:r>
      <w:r w:rsidRPr="00D33DF7">
        <w:rPr>
          <w:rFonts w:ascii="Verdana" w:hAnsi="Verdana" w:cs="Arial"/>
          <w:color w:val="5B9BD5" w:themeColor="accent1"/>
          <w:lang w:val="en-GB" w:eastAsia="pl-PL"/>
        </w:rPr>
        <w:t>year</w:t>
      </w:r>
      <w:r w:rsidR="00724397" w:rsidRPr="00D33DF7">
        <w:rPr>
          <w:rFonts w:ascii="Verdana" w:hAnsi="Verdana" w:cs="Arial"/>
          <w:color w:val="5B9BD5" w:themeColor="accent1"/>
          <w:lang w:val="en-GB" w:eastAsia="pl-PL"/>
        </w:rPr>
        <w:t xml:space="preserve"> to </w:t>
      </w:r>
      <w:r w:rsidRPr="00D33DF7">
        <w:rPr>
          <w:rFonts w:ascii="Verdana" w:hAnsi="Verdana" w:cs="Arial"/>
          <w:color w:val="5B9BD5" w:themeColor="accent1"/>
          <w:lang w:val="en-GB" w:eastAsia="pl-PL"/>
        </w:rPr>
        <w:t>PLN 49.2 million.</w:t>
      </w:r>
    </w:p>
    <w:p w14:paraId="1ABA68E8" w14:textId="1B55D997" w:rsidR="00B2452B" w:rsidRPr="00D33DF7" w:rsidRDefault="00B2452B" w:rsidP="5994943D">
      <w:pPr>
        <w:spacing w:after="0"/>
        <w:jc w:val="both"/>
        <w:rPr>
          <w:rFonts w:ascii="Verdana" w:hAnsi="Verdana" w:cs="Arial"/>
          <w:color w:val="5B9BD5" w:themeColor="accent1"/>
          <w:lang w:val="en-GB" w:eastAsia="pl-PL"/>
        </w:rPr>
      </w:pPr>
    </w:p>
    <w:p w14:paraId="39A7A8B6" w14:textId="65927A78" w:rsidR="00D62C7C" w:rsidRPr="00D33DF7" w:rsidRDefault="00D62C7C" w:rsidP="00D62C7C">
      <w:pPr>
        <w:pStyle w:val="ListParagraph"/>
        <w:numPr>
          <w:ilvl w:val="0"/>
          <w:numId w:val="28"/>
        </w:numPr>
        <w:spacing w:line="22" w:lineRule="atLeast"/>
        <w:jc w:val="both"/>
        <w:rPr>
          <w:rFonts w:ascii="Verdana" w:hAnsi="Verdana" w:cs="Arial"/>
          <w:b/>
          <w:bCs/>
          <w:sz w:val="16"/>
          <w:szCs w:val="16"/>
          <w:lang w:val="en-GB"/>
        </w:rPr>
      </w:pPr>
      <w:r w:rsidRPr="00D33DF7">
        <w:rPr>
          <w:rFonts w:ascii="Verdana" w:hAnsi="Verdana" w:cs="Arial"/>
          <w:b/>
          <w:bCs/>
          <w:sz w:val="16"/>
          <w:szCs w:val="16"/>
          <w:lang w:val="en-GB"/>
        </w:rPr>
        <w:t>PLN 135.1 million – GPW Group’s sales revenue in Q3 2025 (+20.5% YoY)</w:t>
      </w:r>
    </w:p>
    <w:p w14:paraId="66F146C7" w14:textId="683DEBB0" w:rsidR="00D62C7C" w:rsidRPr="00D33DF7" w:rsidRDefault="00D62C7C" w:rsidP="00D62C7C">
      <w:pPr>
        <w:pStyle w:val="ListParagraph"/>
        <w:numPr>
          <w:ilvl w:val="0"/>
          <w:numId w:val="28"/>
        </w:numPr>
        <w:spacing w:line="22" w:lineRule="atLeast"/>
        <w:jc w:val="both"/>
        <w:rPr>
          <w:rFonts w:ascii="Verdana" w:hAnsi="Verdana" w:cs="Arial"/>
          <w:b/>
          <w:bCs/>
          <w:sz w:val="16"/>
          <w:szCs w:val="16"/>
          <w:lang w:val="en-GB"/>
        </w:rPr>
      </w:pPr>
      <w:r w:rsidRPr="00D33DF7">
        <w:rPr>
          <w:rFonts w:ascii="Verdana" w:hAnsi="Verdana" w:cs="Arial"/>
          <w:b/>
          <w:bCs/>
          <w:sz w:val="16"/>
          <w:szCs w:val="16"/>
          <w:lang w:val="en-GB"/>
        </w:rPr>
        <w:t>PLN 113.5 billion – Main Market EOB turnover in Q3 2025 (+43.1% YoY)</w:t>
      </w:r>
    </w:p>
    <w:p w14:paraId="017A246A" w14:textId="5DA15B1F" w:rsidR="00D62C7C" w:rsidRPr="00D33DF7" w:rsidRDefault="00D62C7C" w:rsidP="00D62C7C">
      <w:pPr>
        <w:pStyle w:val="ListParagraph"/>
        <w:numPr>
          <w:ilvl w:val="0"/>
          <w:numId w:val="28"/>
        </w:numPr>
        <w:spacing w:line="22" w:lineRule="atLeast"/>
        <w:jc w:val="both"/>
        <w:rPr>
          <w:rFonts w:ascii="Verdana" w:hAnsi="Verdana" w:cs="Arial"/>
          <w:b/>
          <w:bCs/>
          <w:sz w:val="16"/>
          <w:szCs w:val="16"/>
          <w:lang w:val="en-GB"/>
        </w:rPr>
      </w:pPr>
      <w:r w:rsidRPr="00D33DF7">
        <w:rPr>
          <w:rFonts w:ascii="Verdana" w:hAnsi="Verdana" w:cs="Arial"/>
          <w:b/>
          <w:bCs/>
          <w:sz w:val="16"/>
          <w:szCs w:val="16"/>
          <w:lang w:val="en-GB"/>
        </w:rPr>
        <w:t>PLN 53.8 million – GPW Group’s EBITDA in Q3 2025 (+39.1% YoY)</w:t>
      </w:r>
    </w:p>
    <w:p w14:paraId="7735A047" w14:textId="4DD1DFB6" w:rsidR="00D62C7C" w:rsidRPr="00D33DF7" w:rsidRDefault="00D62C7C" w:rsidP="00D62C7C">
      <w:pPr>
        <w:pStyle w:val="ListParagraph"/>
        <w:numPr>
          <w:ilvl w:val="0"/>
          <w:numId w:val="28"/>
        </w:numPr>
        <w:spacing w:line="22" w:lineRule="atLeast"/>
        <w:jc w:val="both"/>
        <w:rPr>
          <w:rFonts w:ascii="Verdana" w:hAnsi="Verdana" w:cs="Arial"/>
          <w:b/>
          <w:bCs/>
          <w:sz w:val="16"/>
          <w:szCs w:val="16"/>
          <w:lang w:val="en-GB"/>
        </w:rPr>
      </w:pPr>
      <w:r w:rsidRPr="00D33DF7">
        <w:rPr>
          <w:rFonts w:ascii="Verdana" w:hAnsi="Verdana" w:cs="Arial"/>
          <w:b/>
          <w:bCs/>
          <w:sz w:val="16"/>
          <w:szCs w:val="16"/>
          <w:lang w:val="en-GB"/>
        </w:rPr>
        <w:t>PLN 49.2 million – net profit attributable to owners of the parent entity in Q3 2025 (+29.5% YoY)</w:t>
      </w:r>
    </w:p>
    <w:p w14:paraId="0B6E7968" w14:textId="30248179" w:rsidR="00D62C7C" w:rsidRPr="00D33DF7" w:rsidRDefault="00D62C7C" w:rsidP="00D62C7C">
      <w:pPr>
        <w:pStyle w:val="ListParagraph"/>
        <w:numPr>
          <w:ilvl w:val="0"/>
          <w:numId w:val="28"/>
        </w:numPr>
        <w:spacing w:line="22" w:lineRule="atLeast"/>
        <w:jc w:val="both"/>
        <w:rPr>
          <w:rFonts w:ascii="Verdana" w:hAnsi="Verdana" w:cs="Arial"/>
          <w:b/>
          <w:bCs/>
          <w:sz w:val="16"/>
          <w:szCs w:val="16"/>
          <w:lang w:val="en-GB"/>
        </w:rPr>
      </w:pPr>
      <w:r w:rsidRPr="00D33DF7">
        <w:rPr>
          <w:rFonts w:ascii="Verdana" w:hAnsi="Verdana" w:cs="Arial"/>
          <w:b/>
          <w:bCs/>
          <w:sz w:val="16"/>
          <w:szCs w:val="16"/>
          <w:lang w:val="en-GB"/>
        </w:rPr>
        <w:t>67.5% – cost/income ratio in</w:t>
      </w:r>
      <w:r w:rsidR="005C0701" w:rsidRPr="00D33DF7">
        <w:rPr>
          <w:rFonts w:ascii="Verdana" w:hAnsi="Verdana" w:cs="Arial"/>
          <w:b/>
          <w:bCs/>
          <w:sz w:val="16"/>
          <w:szCs w:val="16"/>
          <w:lang w:val="en-GB"/>
        </w:rPr>
        <w:t xml:space="preserve"> </w:t>
      </w:r>
      <w:r w:rsidRPr="00D33DF7">
        <w:rPr>
          <w:rFonts w:ascii="Verdana" w:hAnsi="Verdana" w:cs="Arial"/>
          <w:b/>
          <w:bCs/>
          <w:sz w:val="16"/>
          <w:szCs w:val="16"/>
          <w:lang w:val="en-GB"/>
        </w:rPr>
        <w:t>Q3 2025 (-5.1 p.p. YoY)</w:t>
      </w:r>
    </w:p>
    <w:p w14:paraId="71174244" w14:textId="4944F120" w:rsidR="00D62C7C" w:rsidRPr="00D33DF7" w:rsidRDefault="00D62C7C" w:rsidP="0047685B">
      <w:pPr>
        <w:pStyle w:val="ListParagraph"/>
        <w:numPr>
          <w:ilvl w:val="0"/>
          <w:numId w:val="28"/>
        </w:numPr>
        <w:jc w:val="both"/>
        <w:rPr>
          <w:rFonts w:ascii="Verdana" w:hAnsi="Verdana" w:cs="Arial"/>
          <w:b/>
          <w:color w:val="000000" w:themeColor="text1"/>
          <w:sz w:val="16"/>
          <w:szCs w:val="16"/>
          <w:lang w:val="en-GB"/>
        </w:rPr>
      </w:pPr>
      <w:r w:rsidRPr="00D33DF7">
        <w:rPr>
          <w:rFonts w:ascii="Verdana" w:hAnsi="Verdana" w:cs="Arial"/>
          <w:b/>
          <w:color w:val="000000" w:themeColor="text1"/>
          <w:sz w:val="16"/>
          <w:szCs w:val="16"/>
          <w:lang w:val="en-GB"/>
        </w:rPr>
        <w:t>113,459 points – record-high WIG at closing (28 October 2025)</w:t>
      </w:r>
    </w:p>
    <w:p w14:paraId="0122C164" w14:textId="48A0C9CC" w:rsidR="0063625C" w:rsidRPr="00D33DF7" w:rsidRDefault="0063625C" w:rsidP="0063625C">
      <w:pPr>
        <w:pStyle w:val="ListParagraph"/>
        <w:numPr>
          <w:ilvl w:val="0"/>
          <w:numId w:val="28"/>
        </w:numPr>
        <w:spacing w:line="22" w:lineRule="atLeast"/>
        <w:jc w:val="both"/>
        <w:rPr>
          <w:rFonts w:ascii="Verdana" w:hAnsi="Verdana" w:cs="Arial"/>
          <w:b/>
          <w:bCs/>
          <w:sz w:val="16"/>
          <w:szCs w:val="16"/>
          <w:lang w:val="en-GB"/>
        </w:rPr>
      </w:pPr>
      <w:r w:rsidRPr="00D33DF7">
        <w:rPr>
          <w:rFonts w:ascii="Verdana" w:hAnsi="Verdana" w:cs="Arial"/>
          <w:b/>
          <w:bCs/>
          <w:sz w:val="16"/>
          <w:szCs w:val="16"/>
          <w:lang w:val="en-GB"/>
        </w:rPr>
        <w:t xml:space="preserve">PLN </w:t>
      </w:r>
      <w:r w:rsidR="00D62C7C" w:rsidRPr="00D33DF7">
        <w:rPr>
          <w:rFonts w:ascii="Verdana" w:hAnsi="Verdana" w:cs="Arial"/>
          <w:b/>
          <w:bCs/>
          <w:sz w:val="16"/>
          <w:szCs w:val="16"/>
          <w:lang w:val="en-GB"/>
        </w:rPr>
        <w:t xml:space="preserve">62.9 </w:t>
      </w:r>
      <w:r w:rsidRPr="00D33DF7">
        <w:rPr>
          <w:rFonts w:ascii="Verdana" w:hAnsi="Verdana" w:cs="Arial"/>
          <w:b/>
          <w:bCs/>
          <w:sz w:val="16"/>
          <w:szCs w:val="16"/>
          <w:lang w:val="en-GB"/>
        </w:rPr>
        <w:t xml:space="preserve">– </w:t>
      </w:r>
      <w:r w:rsidR="00D62C7C" w:rsidRPr="00D33DF7">
        <w:rPr>
          <w:rFonts w:ascii="Verdana" w:hAnsi="Verdana" w:cs="Arial"/>
          <w:b/>
          <w:bCs/>
          <w:sz w:val="16"/>
          <w:szCs w:val="16"/>
          <w:lang w:val="en-GB"/>
        </w:rPr>
        <w:t>record-high GPW share price at closing</w:t>
      </w:r>
      <w:r w:rsidRPr="00D33DF7">
        <w:rPr>
          <w:rFonts w:ascii="Verdana" w:hAnsi="Verdana" w:cs="Arial"/>
          <w:b/>
          <w:bCs/>
          <w:sz w:val="16"/>
          <w:szCs w:val="16"/>
          <w:lang w:val="en-GB"/>
        </w:rPr>
        <w:t xml:space="preserve"> (</w:t>
      </w:r>
      <w:r w:rsidR="00D62C7C" w:rsidRPr="00D33DF7">
        <w:rPr>
          <w:rFonts w:ascii="Verdana" w:hAnsi="Verdana" w:cs="Arial"/>
          <w:b/>
          <w:bCs/>
          <w:sz w:val="16"/>
          <w:szCs w:val="16"/>
          <w:lang w:val="en-GB"/>
        </w:rPr>
        <w:t>4 November 2025)</w:t>
      </w:r>
    </w:p>
    <w:p w14:paraId="722D8B65" w14:textId="77777777" w:rsidR="0047685B" w:rsidRPr="00D33DF7" w:rsidRDefault="0047685B" w:rsidP="0047685B">
      <w:pPr>
        <w:jc w:val="both"/>
        <w:rPr>
          <w:rFonts w:ascii="Verdana" w:hAnsi="Verdana" w:cs="Arial"/>
          <w:bCs/>
          <w:color w:val="000000" w:themeColor="text1"/>
          <w:sz w:val="20"/>
          <w:szCs w:val="20"/>
          <w:lang w:val="en-GB"/>
        </w:rPr>
      </w:pPr>
    </w:p>
    <w:p w14:paraId="5D185DDA" w14:textId="2BF27FC9" w:rsidR="00724397" w:rsidRPr="00D33DF7" w:rsidRDefault="00724397" w:rsidP="00724397">
      <w:pPr>
        <w:spacing w:after="0"/>
        <w:jc w:val="both"/>
        <w:rPr>
          <w:rFonts w:ascii="Verdana" w:hAnsi="Verdana" w:cs="Arial"/>
          <w:b/>
          <w:color w:val="5B9BD5" w:themeColor="accent1"/>
          <w:sz w:val="20"/>
          <w:szCs w:val="20"/>
          <w:lang w:val="en-GB" w:eastAsia="pl-PL"/>
        </w:rPr>
      </w:pPr>
      <w:r w:rsidRPr="00D33DF7">
        <w:rPr>
          <w:rFonts w:ascii="Verdana" w:hAnsi="Verdana" w:cs="Arial"/>
          <w:b/>
          <w:color w:val="5B9BD5" w:themeColor="accent1"/>
          <w:sz w:val="20"/>
          <w:szCs w:val="20"/>
          <w:lang w:val="en-GB" w:eastAsia="pl-PL"/>
        </w:rPr>
        <w:t>High turnover and record stock prices on the Warsaw Stock Exchange</w:t>
      </w:r>
    </w:p>
    <w:p w14:paraId="14C8DF09" w14:textId="77777777" w:rsidR="0047685B" w:rsidRPr="00D33DF7" w:rsidRDefault="0047685B" w:rsidP="0047685B">
      <w:pPr>
        <w:spacing w:after="0"/>
        <w:jc w:val="both"/>
        <w:rPr>
          <w:rFonts w:ascii="Verdana" w:hAnsi="Verdana" w:cs="Arial"/>
          <w:bCs/>
          <w:color w:val="000000" w:themeColor="text1"/>
          <w:sz w:val="20"/>
          <w:szCs w:val="20"/>
          <w:lang w:val="en-GB" w:eastAsia="pl-PL"/>
        </w:rPr>
      </w:pPr>
    </w:p>
    <w:p w14:paraId="498349FB" w14:textId="525BF638" w:rsidR="000A5166" w:rsidRPr="00D33DF7" w:rsidRDefault="00724397"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T</w:t>
      </w:r>
      <w:r w:rsidR="000A5166" w:rsidRPr="00D33DF7">
        <w:rPr>
          <w:rFonts w:ascii="Verdana" w:hAnsi="Verdana" w:cs="Arial"/>
          <w:bCs/>
          <w:color w:val="000000" w:themeColor="text1"/>
          <w:sz w:val="20"/>
          <w:szCs w:val="20"/>
          <w:lang w:val="en-GB" w:eastAsia="pl-PL"/>
        </w:rPr>
        <w:t xml:space="preserve">he </w:t>
      </w:r>
      <w:r w:rsidRPr="00D33DF7">
        <w:rPr>
          <w:rFonts w:ascii="Verdana" w:hAnsi="Verdana" w:cs="Arial"/>
          <w:bCs/>
          <w:color w:val="000000" w:themeColor="text1"/>
          <w:sz w:val="20"/>
          <w:szCs w:val="20"/>
          <w:lang w:val="en-GB" w:eastAsia="pl-PL"/>
        </w:rPr>
        <w:t>GPW</w:t>
      </w:r>
      <w:r w:rsidR="000A5166" w:rsidRPr="00D33DF7">
        <w:rPr>
          <w:rFonts w:ascii="Verdana" w:hAnsi="Verdana" w:cs="Arial"/>
          <w:bCs/>
          <w:color w:val="000000" w:themeColor="text1"/>
          <w:sz w:val="20"/>
          <w:szCs w:val="20"/>
          <w:lang w:val="en-GB" w:eastAsia="pl-PL"/>
        </w:rPr>
        <w:t xml:space="preserve"> Group generated revenue of PLN 135.1 million</w:t>
      </w:r>
      <w:r w:rsidRPr="00D33DF7">
        <w:rPr>
          <w:rFonts w:ascii="Verdana" w:hAnsi="Verdana" w:cs="Arial"/>
          <w:bCs/>
          <w:color w:val="000000" w:themeColor="text1"/>
          <w:sz w:val="20"/>
          <w:szCs w:val="20"/>
          <w:lang w:val="en-GB" w:eastAsia="pl-PL"/>
        </w:rPr>
        <w:t xml:space="preserve"> in Q3 2025</w:t>
      </w:r>
      <w:r w:rsidR="000A5166" w:rsidRPr="00D33DF7">
        <w:rPr>
          <w:rFonts w:ascii="Verdana" w:hAnsi="Verdana" w:cs="Arial"/>
          <w:bCs/>
          <w:color w:val="000000" w:themeColor="text1"/>
          <w:sz w:val="20"/>
          <w:szCs w:val="20"/>
          <w:lang w:val="en-GB" w:eastAsia="pl-PL"/>
        </w:rPr>
        <w:t>, a 20.5% increase year</w:t>
      </w:r>
      <w:r w:rsidRPr="00D33DF7">
        <w:rPr>
          <w:rFonts w:ascii="Verdana" w:hAnsi="Verdana" w:cs="Arial"/>
          <w:bCs/>
          <w:color w:val="000000" w:themeColor="text1"/>
          <w:sz w:val="20"/>
          <w:szCs w:val="20"/>
          <w:lang w:val="en-GB" w:eastAsia="pl-PL"/>
        </w:rPr>
        <w:t xml:space="preserve"> </w:t>
      </w:r>
      <w:r w:rsidR="000A5166" w:rsidRPr="00D33DF7">
        <w:rPr>
          <w:rFonts w:ascii="Verdana" w:hAnsi="Verdana" w:cs="Arial"/>
          <w:bCs/>
          <w:color w:val="000000" w:themeColor="text1"/>
          <w:sz w:val="20"/>
          <w:szCs w:val="20"/>
          <w:lang w:val="en-GB" w:eastAsia="pl-PL"/>
        </w:rPr>
        <w:t>on</w:t>
      </w:r>
      <w:r w:rsidRPr="00D33DF7">
        <w:rPr>
          <w:rFonts w:ascii="Verdana" w:hAnsi="Verdana" w:cs="Arial"/>
          <w:bCs/>
          <w:color w:val="000000" w:themeColor="text1"/>
          <w:sz w:val="20"/>
          <w:szCs w:val="20"/>
          <w:lang w:val="en-GB" w:eastAsia="pl-PL"/>
        </w:rPr>
        <w:t xml:space="preserve"> </w:t>
      </w:r>
      <w:r w:rsidR="000A5166" w:rsidRPr="00D33DF7">
        <w:rPr>
          <w:rFonts w:ascii="Verdana" w:hAnsi="Verdana" w:cs="Arial"/>
          <w:bCs/>
          <w:color w:val="000000" w:themeColor="text1"/>
          <w:sz w:val="20"/>
          <w:szCs w:val="20"/>
          <w:lang w:val="en-GB" w:eastAsia="pl-PL"/>
        </w:rPr>
        <w:t>year. Revenue</w:t>
      </w:r>
      <w:r w:rsidRPr="00D33DF7">
        <w:rPr>
          <w:rFonts w:ascii="Verdana" w:hAnsi="Verdana" w:cs="Arial"/>
          <w:bCs/>
          <w:color w:val="000000" w:themeColor="text1"/>
          <w:sz w:val="20"/>
          <w:szCs w:val="20"/>
          <w:lang w:val="en-GB" w:eastAsia="pl-PL"/>
        </w:rPr>
        <w:t xml:space="preserve"> o</w:t>
      </w:r>
      <w:r w:rsidR="000A5166" w:rsidRPr="00D33DF7">
        <w:rPr>
          <w:rFonts w:ascii="Verdana" w:hAnsi="Verdana" w:cs="Arial"/>
          <w:bCs/>
          <w:color w:val="000000" w:themeColor="text1"/>
          <w:sz w:val="20"/>
          <w:szCs w:val="20"/>
          <w:lang w:val="en-GB" w:eastAsia="pl-PL"/>
        </w:rPr>
        <w:t xml:space="preserve">n the Financial Market increased by 27.4% </w:t>
      </w:r>
      <w:r w:rsidRPr="00D33DF7">
        <w:rPr>
          <w:rFonts w:ascii="Verdana" w:hAnsi="Verdana" w:cs="Arial"/>
          <w:bCs/>
          <w:color w:val="000000" w:themeColor="text1"/>
          <w:sz w:val="20"/>
          <w:szCs w:val="20"/>
          <w:lang w:val="en-GB" w:eastAsia="pl-PL"/>
        </w:rPr>
        <w:t>year on year to</w:t>
      </w:r>
      <w:r w:rsidR="000A5166" w:rsidRPr="00D33DF7">
        <w:rPr>
          <w:rFonts w:ascii="Verdana" w:hAnsi="Verdana" w:cs="Arial"/>
          <w:bCs/>
          <w:color w:val="000000" w:themeColor="text1"/>
          <w:sz w:val="20"/>
          <w:szCs w:val="20"/>
          <w:lang w:val="en-GB" w:eastAsia="pl-PL"/>
        </w:rPr>
        <w:t xml:space="preserve"> PLN 91.5 million, mainly </w:t>
      </w:r>
      <w:r w:rsidRPr="00D33DF7">
        <w:rPr>
          <w:rFonts w:ascii="Verdana" w:hAnsi="Verdana" w:cs="Arial"/>
          <w:bCs/>
          <w:color w:val="000000" w:themeColor="text1"/>
          <w:sz w:val="20"/>
          <w:szCs w:val="20"/>
          <w:lang w:val="en-GB" w:eastAsia="pl-PL"/>
        </w:rPr>
        <w:t>driven by</w:t>
      </w:r>
      <w:r w:rsidR="000A5166" w:rsidRPr="00D33DF7">
        <w:rPr>
          <w:rFonts w:ascii="Verdana" w:hAnsi="Verdana" w:cs="Arial"/>
          <w:bCs/>
          <w:color w:val="000000" w:themeColor="text1"/>
          <w:sz w:val="20"/>
          <w:szCs w:val="20"/>
          <w:lang w:val="en-GB" w:eastAsia="pl-PL"/>
        </w:rPr>
        <w:t xml:space="preserve"> </w:t>
      </w:r>
      <w:r w:rsidR="00E6279B" w:rsidRPr="00D33DF7">
        <w:rPr>
          <w:rFonts w:ascii="Verdana" w:hAnsi="Verdana" w:cs="Arial"/>
          <w:bCs/>
          <w:color w:val="000000" w:themeColor="text1"/>
          <w:sz w:val="20"/>
          <w:szCs w:val="20"/>
          <w:lang w:val="en-GB" w:eastAsia="pl-PL"/>
        </w:rPr>
        <w:t>GPW Main Market</w:t>
      </w:r>
      <w:r w:rsidR="00E6279B" w:rsidRPr="00D33DF7">
        <w:rPr>
          <w:rFonts w:ascii="Verdana" w:hAnsi="Verdana" w:cs="Arial"/>
          <w:bCs/>
          <w:color w:val="000000" w:themeColor="text1"/>
          <w:sz w:val="20"/>
          <w:szCs w:val="20"/>
          <w:lang w:val="en-GB" w:eastAsia="pl-PL"/>
        </w:rPr>
        <w:t xml:space="preserve"> </w:t>
      </w:r>
      <w:r w:rsidRPr="00D33DF7">
        <w:rPr>
          <w:rFonts w:ascii="Verdana" w:hAnsi="Verdana" w:cs="Arial"/>
          <w:bCs/>
          <w:color w:val="000000" w:themeColor="text1"/>
          <w:sz w:val="20"/>
          <w:szCs w:val="20"/>
          <w:lang w:val="en-GB" w:eastAsia="pl-PL"/>
        </w:rPr>
        <w:t>EOB turnover</w:t>
      </w:r>
      <w:r w:rsidR="000A5166" w:rsidRPr="00D33DF7">
        <w:rPr>
          <w:rFonts w:ascii="Verdana" w:hAnsi="Verdana" w:cs="Arial"/>
          <w:bCs/>
          <w:color w:val="000000" w:themeColor="text1"/>
          <w:sz w:val="20"/>
          <w:szCs w:val="20"/>
          <w:lang w:val="en-GB" w:eastAsia="pl-PL"/>
        </w:rPr>
        <w:t>.</w:t>
      </w:r>
    </w:p>
    <w:p w14:paraId="6C5040AF" w14:textId="77777777" w:rsidR="005D5B87" w:rsidRPr="00D33DF7" w:rsidRDefault="005D5B87" w:rsidP="0047685B">
      <w:pPr>
        <w:spacing w:after="0"/>
        <w:jc w:val="both"/>
        <w:rPr>
          <w:rFonts w:ascii="Verdana" w:hAnsi="Verdana" w:cs="Arial"/>
          <w:bCs/>
          <w:color w:val="000000" w:themeColor="text1"/>
          <w:sz w:val="20"/>
          <w:szCs w:val="20"/>
          <w:lang w:val="en-GB" w:eastAsia="pl-PL"/>
        </w:rPr>
      </w:pPr>
    </w:p>
    <w:p w14:paraId="70D1DF26" w14:textId="5CF0BAFD" w:rsidR="000A5166" w:rsidRPr="00D33DF7" w:rsidRDefault="00724397"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T</w:t>
      </w:r>
      <w:r w:rsidR="000A5166" w:rsidRPr="00D33DF7">
        <w:rPr>
          <w:rFonts w:ascii="Verdana" w:hAnsi="Verdana" w:cs="Arial"/>
          <w:bCs/>
          <w:color w:val="000000" w:themeColor="text1"/>
          <w:sz w:val="20"/>
          <w:szCs w:val="20"/>
          <w:lang w:val="en-GB" w:eastAsia="pl-PL"/>
        </w:rPr>
        <w:t xml:space="preserve">urnover on the </w:t>
      </w:r>
      <w:r w:rsidRPr="00D33DF7">
        <w:rPr>
          <w:rFonts w:ascii="Verdana" w:hAnsi="Verdana" w:cs="Arial"/>
          <w:bCs/>
          <w:color w:val="000000" w:themeColor="text1"/>
          <w:sz w:val="20"/>
          <w:szCs w:val="20"/>
          <w:lang w:val="en-GB" w:eastAsia="pl-PL"/>
        </w:rPr>
        <w:t xml:space="preserve">GPW </w:t>
      </w:r>
      <w:r w:rsidR="000A5166" w:rsidRPr="00D33DF7">
        <w:rPr>
          <w:rFonts w:ascii="Verdana" w:hAnsi="Verdana" w:cs="Arial"/>
          <w:bCs/>
          <w:color w:val="000000" w:themeColor="text1"/>
          <w:sz w:val="20"/>
          <w:szCs w:val="20"/>
          <w:lang w:val="en-GB" w:eastAsia="pl-PL"/>
        </w:rPr>
        <w:t>Main Market amounted to PLN 113.5 billion</w:t>
      </w:r>
      <w:r w:rsidRPr="00D33DF7">
        <w:rPr>
          <w:rFonts w:ascii="Verdana" w:hAnsi="Verdana" w:cs="Arial"/>
          <w:bCs/>
          <w:color w:val="000000" w:themeColor="text1"/>
          <w:sz w:val="20"/>
          <w:szCs w:val="20"/>
          <w:lang w:val="en-GB" w:eastAsia="pl-PL"/>
        </w:rPr>
        <w:t xml:space="preserve"> from July to September 2025</w:t>
      </w:r>
      <w:r w:rsidR="000A5166" w:rsidRPr="00D33DF7">
        <w:rPr>
          <w:rFonts w:ascii="Verdana" w:hAnsi="Verdana" w:cs="Arial"/>
          <w:bCs/>
          <w:color w:val="000000" w:themeColor="text1"/>
          <w:sz w:val="20"/>
          <w:szCs w:val="20"/>
          <w:lang w:val="en-GB" w:eastAsia="pl-PL"/>
        </w:rPr>
        <w:t xml:space="preserve">, an increase of 43.1% </w:t>
      </w:r>
      <w:r w:rsidRPr="00D33DF7">
        <w:rPr>
          <w:rFonts w:ascii="Verdana" w:hAnsi="Verdana" w:cs="Arial"/>
          <w:bCs/>
          <w:color w:val="000000" w:themeColor="text1"/>
          <w:sz w:val="20"/>
          <w:szCs w:val="20"/>
          <w:lang w:val="en-GB" w:eastAsia="pl-PL"/>
        </w:rPr>
        <w:t>year on year</w:t>
      </w:r>
      <w:r w:rsidR="000A5166" w:rsidRPr="00D33DF7">
        <w:rPr>
          <w:rFonts w:ascii="Verdana" w:hAnsi="Verdana" w:cs="Arial"/>
          <w:bCs/>
          <w:color w:val="000000" w:themeColor="text1"/>
          <w:sz w:val="20"/>
          <w:szCs w:val="20"/>
          <w:lang w:val="en-GB" w:eastAsia="pl-PL"/>
        </w:rPr>
        <w:t xml:space="preserve">. The average daily </w:t>
      </w:r>
      <w:r w:rsidRPr="00D33DF7">
        <w:rPr>
          <w:rFonts w:ascii="Verdana" w:hAnsi="Verdana" w:cs="Arial"/>
          <w:bCs/>
          <w:color w:val="000000" w:themeColor="text1"/>
          <w:sz w:val="20"/>
          <w:szCs w:val="20"/>
          <w:lang w:val="en-GB" w:eastAsia="pl-PL"/>
        </w:rPr>
        <w:t>EOB turnover</w:t>
      </w:r>
      <w:r w:rsidR="000A5166" w:rsidRPr="00D33DF7">
        <w:rPr>
          <w:rFonts w:ascii="Verdana" w:hAnsi="Verdana" w:cs="Arial"/>
          <w:bCs/>
          <w:color w:val="000000" w:themeColor="text1"/>
          <w:sz w:val="20"/>
          <w:szCs w:val="20"/>
          <w:lang w:val="en-GB" w:eastAsia="pl-PL"/>
        </w:rPr>
        <w:t xml:space="preserve"> reached PLN 1.75 billion, an increase of 43.1% </w:t>
      </w:r>
      <w:r w:rsidRPr="00D33DF7">
        <w:rPr>
          <w:rFonts w:ascii="Verdana" w:hAnsi="Verdana" w:cs="Arial"/>
          <w:bCs/>
          <w:color w:val="000000" w:themeColor="text1"/>
          <w:sz w:val="20"/>
          <w:szCs w:val="20"/>
          <w:lang w:val="en-GB" w:eastAsia="pl-PL"/>
        </w:rPr>
        <w:t>year on year</w:t>
      </w:r>
      <w:r w:rsidR="000A5166" w:rsidRPr="00D33DF7">
        <w:rPr>
          <w:rFonts w:ascii="Verdana" w:hAnsi="Verdana" w:cs="Arial"/>
          <w:bCs/>
          <w:color w:val="000000" w:themeColor="text1"/>
          <w:sz w:val="20"/>
          <w:szCs w:val="20"/>
          <w:lang w:val="en-GB" w:eastAsia="pl-PL"/>
        </w:rPr>
        <w:t xml:space="preserve">. High investor activity continued in October. </w:t>
      </w:r>
      <w:r w:rsidRPr="00D33DF7">
        <w:rPr>
          <w:rFonts w:ascii="Verdana" w:hAnsi="Verdana" w:cs="Arial"/>
          <w:bCs/>
          <w:color w:val="000000" w:themeColor="text1"/>
          <w:sz w:val="20"/>
          <w:szCs w:val="20"/>
          <w:lang w:val="en-GB" w:eastAsia="pl-PL"/>
        </w:rPr>
        <w:t xml:space="preserve">EOB equity turnover </w:t>
      </w:r>
      <w:r w:rsidR="000A5166" w:rsidRPr="00D33DF7">
        <w:rPr>
          <w:rFonts w:ascii="Verdana" w:hAnsi="Verdana" w:cs="Arial"/>
          <w:bCs/>
          <w:color w:val="000000" w:themeColor="text1"/>
          <w:sz w:val="20"/>
          <w:szCs w:val="20"/>
          <w:lang w:val="en-GB" w:eastAsia="pl-PL"/>
        </w:rPr>
        <w:t xml:space="preserve">amounted to PLN 43.1 billion, </w:t>
      </w:r>
      <w:r w:rsidRPr="00D33DF7">
        <w:rPr>
          <w:rFonts w:ascii="Verdana" w:hAnsi="Verdana" w:cs="Arial"/>
          <w:bCs/>
          <w:color w:val="000000" w:themeColor="text1"/>
          <w:sz w:val="20"/>
          <w:szCs w:val="20"/>
          <w:lang w:val="en-GB" w:eastAsia="pl-PL"/>
        </w:rPr>
        <w:t xml:space="preserve">up </w:t>
      </w:r>
      <w:r w:rsidR="000A5166" w:rsidRPr="00D33DF7">
        <w:rPr>
          <w:rFonts w:ascii="Verdana" w:hAnsi="Verdana" w:cs="Arial"/>
          <w:bCs/>
          <w:color w:val="000000" w:themeColor="text1"/>
          <w:sz w:val="20"/>
          <w:szCs w:val="20"/>
          <w:lang w:val="en-GB" w:eastAsia="pl-PL"/>
        </w:rPr>
        <w:t xml:space="preserve">49.6% </w:t>
      </w:r>
      <w:r w:rsidRPr="00D33DF7">
        <w:rPr>
          <w:rFonts w:ascii="Verdana" w:hAnsi="Verdana" w:cs="Arial"/>
          <w:bCs/>
          <w:color w:val="000000" w:themeColor="text1"/>
          <w:sz w:val="20"/>
          <w:szCs w:val="20"/>
          <w:lang w:val="en-GB" w:eastAsia="pl-PL"/>
        </w:rPr>
        <w:t>year on year</w:t>
      </w:r>
      <w:r w:rsidR="000A5166" w:rsidRPr="00D33DF7">
        <w:rPr>
          <w:rFonts w:ascii="Verdana" w:hAnsi="Verdana" w:cs="Arial"/>
          <w:bCs/>
          <w:color w:val="000000" w:themeColor="text1"/>
          <w:sz w:val="20"/>
          <w:szCs w:val="20"/>
          <w:lang w:val="en-GB" w:eastAsia="pl-PL"/>
        </w:rPr>
        <w:t>.</w:t>
      </w:r>
    </w:p>
    <w:p w14:paraId="7F84C035" w14:textId="0AD882AD" w:rsidR="004720C4" w:rsidRPr="00D33DF7" w:rsidRDefault="004720C4" w:rsidP="005D5B87">
      <w:pPr>
        <w:spacing w:after="0"/>
        <w:jc w:val="both"/>
        <w:rPr>
          <w:rFonts w:ascii="Verdana" w:hAnsi="Verdana" w:cs="Arial"/>
          <w:bCs/>
          <w:color w:val="000000" w:themeColor="text1"/>
          <w:sz w:val="20"/>
          <w:szCs w:val="20"/>
          <w:lang w:val="en-GB" w:eastAsia="pl-PL"/>
        </w:rPr>
      </w:pPr>
    </w:p>
    <w:p w14:paraId="5D3BC222" w14:textId="0ABEBCE6" w:rsidR="000A5166" w:rsidRPr="00D33DF7" w:rsidRDefault="00724397"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Stable growth on t</w:t>
      </w:r>
      <w:r w:rsidR="000A5166" w:rsidRPr="00D33DF7">
        <w:rPr>
          <w:rFonts w:ascii="Verdana" w:hAnsi="Verdana" w:cs="Arial"/>
          <w:bCs/>
          <w:color w:val="000000" w:themeColor="text1"/>
          <w:sz w:val="20"/>
          <w:szCs w:val="20"/>
          <w:lang w:val="en-GB" w:eastAsia="pl-PL"/>
        </w:rPr>
        <w:t xml:space="preserve">he Commodity Market </w:t>
      </w:r>
      <w:r w:rsidRPr="00D33DF7">
        <w:rPr>
          <w:rFonts w:ascii="Verdana" w:hAnsi="Verdana" w:cs="Arial"/>
          <w:bCs/>
          <w:color w:val="000000" w:themeColor="text1"/>
          <w:sz w:val="20"/>
          <w:szCs w:val="20"/>
          <w:lang w:val="en-GB" w:eastAsia="pl-PL"/>
        </w:rPr>
        <w:t>continued</w:t>
      </w:r>
      <w:r w:rsidR="000A5166" w:rsidRPr="00D33DF7">
        <w:rPr>
          <w:rFonts w:ascii="Verdana" w:hAnsi="Verdana" w:cs="Arial"/>
          <w:bCs/>
          <w:color w:val="000000" w:themeColor="text1"/>
          <w:sz w:val="20"/>
          <w:szCs w:val="20"/>
          <w:lang w:val="en-GB" w:eastAsia="pl-PL"/>
        </w:rPr>
        <w:t xml:space="preserve"> in </w:t>
      </w:r>
      <w:r w:rsidRPr="00D33DF7">
        <w:rPr>
          <w:rFonts w:ascii="Verdana" w:hAnsi="Verdana" w:cs="Arial"/>
          <w:bCs/>
          <w:color w:val="000000" w:themeColor="text1"/>
          <w:sz w:val="20"/>
          <w:szCs w:val="20"/>
          <w:lang w:val="en-GB" w:eastAsia="pl-PL"/>
        </w:rPr>
        <w:t>Q3 2025</w:t>
      </w:r>
      <w:r w:rsidR="000A5166" w:rsidRPr="00D33DF7">
        <w:rPr>
          <w:rFonts w:ascii="Verdana" w:hAnsi="Verdana" w:cs="Arial"/>
          <w:bCs/>
          <w:color w:val="000000" w:themeColor="text1"/>
          <w:sz w:val="20"/>
          <w:szCs w:val="20"/>
          <w:lang w:val="en-GB" w:eastAsia="pl-PL"/>
        </w:rPr>
        <w:t xml:space="preserve">. </w:t>
      </w:r>
      <w:r w:rsidRPr="00D33DF7">
        <w:rPr>
          <w:rFonts w:ascii="Verdana" w:hAnsi="Verdana" w:cs="Arial"/>
          <w:bCs/>
          <w:color w:val="000000" w:themeColor="text1"/>
          <w:sz w:val="20"/>
          <w:szCs w:val="20"/>
          <w:lang w:val="en-GB" w:eastAsia="pl-PL"/>
        </w:rPr>
        <w:t>TGE’s h</w:t>
      </w:r>
      <w:r w:rsidR="000A5166" w:rsidRPr="00D33DF7">
        <w:rPr>
          <w:rFonts w:ascii="Verdana" w:hAnsi="Verdana" w:cs="Arial"/>
          <w:bCs/>
          <w:color w:val="000000" w:themeColor="text1"/>
          <w:sz w:val="20"/>
          <w:szCs w:val="20"/>
          <w:lang w:val="en-GB" w:eastAsia="pl-PL"/>
        </w:rPr>
        <w:t xml:space="preserve">igher revenue </w:t>
      </w:r>
      <w:r w:rsidRPr="00D33DF7">
        <w:rPr>
          <w:rFonts w:ascii="Verdana" w:hAnsi="Verdana" w:cs="Arial"/>
          <w:bCs/>
          <w:color w:val="000000" w:themeColor="text1"/>
          <w:sz w:val="20"/>
          <w:szCs w:val="20"/>
          <w:lang w:val="en-GB" w:eastAsia="pl-PL"/>
        </w:rPr>
        <w:t>was</w:t>
      </w:r>
      <w:r w:rsidR="000A5166" w:rsidRPr="00D33DF7">
        <w:rPr>
          <w:rFonts w:ascii="Verdana" w:hAnsi="Verdana" w:cs="Arial"/>
          <w:bCs/>
          <w:color w:val="000000" w:themeColor="text1"/>
          <w:sz w:val="20"/>
          <w:szCs w:val="20"/>
          <w:lang w:val="en-GB" w:eastAsia="pl-PL"/>
        </w:rPr>
        <w:t xml:space="preserve"> largely </w:t>
      </w:r>
      <w:r w:rsidRPr="00D33DF7">
        <w:rPr>
          <w:rFonts w:ascii="Verdana" w:hAnsi="Verdana" w:cs="Arial"/>
          <w:bCs/>
          <w:color w:val="000000" w:themeColor="text1"/>
          <w:sz w:val="20"/>
          <w:szCs w:val="20"/>
          <w:lang w:val="en-GB" w:eastAsia="pl-PL"/>
        </w:rPr>
        <w:t>driven by</w:t>
      </w:r>
      <w:r w:rsidR="000A5166" w:rsidRPr="00D33DF7">
        <w:rPr>
          <w:rFonts w:ascii="Verdana" w:hAnsi="Verdana" w:cs="Arial"/>
          <w:bCs/>
          <w:color w:val="000000" w:themeColor="text1"/>
          <w:sz w:val="20"/>
          <w:szCs w:val="20"/>
          <w:lang w:val="en-GB" w:eastAsia="pl-PL"/>
        </w:rPr>
        <w:t xml:space="preserve"> increased gas trading on </w:t>
      </w:r>
      <w:r w:rsidR="00F07E71" w:rsidRPr="00D33DF7">
        <w:rPr>
          <w:rFonts w:ascii="Verdana" w:hAnsi="Verdana" w:cs="Arial"/>
          <w:bCs/>
          <w:color w:val="000000" w:themeColor="text1"/>
          <w:sz w:val="20"/>
          <w:szCs w:val="20"/>
          <w:lang w:val="en-GB" w:eastAsia="pl-PL"/>
        </w:rPr>
        <w:t xml:space="preserve">both </w:t>
      </w:r>
      <w:r w:rsidR="000A5166" w:rsidRPr="00D33DF7">
        <w:rPr>
          <w:rFonts w:ascii="Verdana" w:hAnsi="Verdana" w:cs="Arial"/>
          <w:bCs/>
          <w:color w:val="000000" w:themeColor="text1"/>
          <w:sz w:val="20"/>
          <w:szCs w:val="20"/>
          <w:lang w:val="en-GB" w:eastAsia="pl-PL"/>
        </w:rPr>
        <w:t xml:space="preserve">the spot and </w:t>
      </w:r>
      <w:r w:rsidRPr="00D33DF7">
        <w:rPr>
          <w:rFonts w:ascii="Verdana" w:hAnsi="Verdana" w:cs="Arial"/>
          <w:bCs/>
          <w:color w:val="000000" w:themeColor="text1"/>
          <w:sz w:val="20"/>
          <w:szCs w:val="20"/>
          <w:lang w:val="en-GB" w:eastAsia="pl-PL"/>
        </w:rPr>
        <w:t>forward</w:t>
      </w:r>
      <w:r w:rsidR="000A5166" w:rsidRPr="00D33DF7">
        <w:rPr>
          <w:rFonts w:ascii="Verdana" w:hAnsi="Verdana" w:cs="Arial"/>
          <w:bCs/>
          <w:color w:val="000000" w:themeColor="text1"/>
          <w:sz w:val="20"/>
          <w:szCs w:val="20"/>
          <w:lang w:val="en-GB" w:eastAsia="pl-PL"/>
        </w:rPr>
        <w:t xml:space="preserve"> markets, reflecting the growing importance of </w:t>
      </w:r>
      <w:r w:rsidRPr="00D33DF7">
        <w:rPr>
          <w:rFonts w:ascii="Verdana" w:hAnsi="Verdana" w:cs="Arial"/>
          <w:bCs/>
          <w:color w:val="000000" w:themeColor="text1"/>
          <w:sz w:val="20"/>
          <w:szCs w:val="20"/>
          <w:lang w:val="en-GB" w:eastAsia="pl-PL"/>
        </w:rPr>
        <w:t>gas</w:t>
      </w:r>
      <w:r w:rsidR="000A5166" w:rsidRPr="00D33DF7">
        <w:rPr>
          <w:rFonts w:ascii="Verdana" w:hAnsi="Verdana" w:cs="Arial"/>
          <w:bCs/>
          <w:color w:val="000000" w:themeColor="text1"/>
          <w:sz w:val="20"/>
          <w:szCs w:val="20"/>
          <w:lang w:val="en-GB" w:eastAsia="pl-PL"/>
        </w:rPr>
        <w:t xml:space="preserve"> in </w:t>
      </w:r>
      <w:r w:rsidRPr="00D33DF7">
        <w:rPr>
          <w:rFonts w:ascii="Verdana" w:hAnsi="Verdana" w:cs="Arial"/>
          <w:bCs/>
          <w:color w:val="000000" w:themeColor="text1"/>
          <w:sz w:val="20"/>
          <w:szCs w:val="20"/>
          <w:lang w:val="en-GB" w:eastAsia="pl-PL"/>
        </w:rPr>
        <w:t>Poland’s</w:t>
      </w:r>
      <w:r w:rsidR="000A5166" w:rsidRPr="00D33DF7">
        <w:rPr>
          <w:rFonts w:ascii="Verdana" w:hAnsi="Verdana" w:cs="Arial"/>
          <w:bCs/>
          <w:color w:val="000000" w:themeColor="text1"/>
          <w:sz w:val="20"/>
          <w:szCs w:val="20"/>
          <w:lang w:val="en-GB" w:eastAsia="pl-PL"/>
        </w:rPr>
        <w:t xml:space="preserve"> energy transition. As a result, the Group</w:t>
      </w:r>
      <w:r w:rsidRPr="00D33DF7">
        <w:rPr>
          <w:rFonts w:ascii="Verdana" w:hAnsi="Verdana" w:cs="Arial"/>
          <w:bCs/>
          <w:color w:val="000000" w:themeColor="text1"/>
          <w:sz w:val="20"/>
          <w:szCs w:val="20"/>
          <w:lang w:val="en-GB" w:eastAsia="pl-PL"/>
        </w:rPr>
        <w:t>’</w:t>
      </w:r>
      <w:r w:rsidR="000A5166" w:rsidRPr="00D33DF7">
        <w:rPr>
          <w:rFonts w:ascii="Verdana" w:hAnsi="Verdana" w:cs="Arial"/>
          <w:bCs/>
          <w:color w:val="000000" w:themeColor="text1"/>
          <w:sz w:val="20"/>
          <w:szCs w:val="20"/>
          <w:lang w:val="en-GB" w:eastAsia="pl-PL"/>
        </w:rPr>
        <w:t xml:space="preserve">s revenue </w:t>
      </w:r>
      <w:r w:rsidRPr="00D33DF7">
        <w:rPr>
          <w:rFonts w:ascii="Verdana" w:hAnsi="Verdana" w:cs="Arial"/>
          <w:bCs/>
          <w:color w:val="000000" w:themeColor="text1"/>
          <w:sz w:val="20"/>
          <w:szCs w:val="20"/>
          <w:lang w:val="en-GB" w:eastAsia="pl-PL"/>
        </w:rPr>
        <w:t>o</w:t>
      </w:r>
      <w:r w:rsidR="000A5166" w:rsidRPr="00D33DF7">
        <w:rPr>
          <w:rFonts w:ascii="Verdana" w:hAnsi="Verdana" w:cs="Arial"/>
          <w:bCs/>
          <w:color w:val="000000" w:themeColor="text1"/>
          <w:sz w:val="20"/>
          <w:szCs w:val="20"/>
          <w:lang w:val="en-GB" w:eastAsia="pl-PL"/>
        </w:rPr>
        <w:t xml:space="preserve">n the Commodity Market increased by 9.7% </w:t>
      </w:r>
      <w:r w:rsidRPr="00D33DF7">
        <w:rPr>
          <w:rFonts w:ascii="Verdana" w:hAnsi="Verdana" w:cs="Arial"/>
          <w:bCs/>
          <w:color w:val="000000" w:themeColor="text1"/>
          <w:sz w:val="20"/>
          <w:szCs w:val="20"/>
          <w:lang w:val="en-GB" w:eastAsia="pl-PL"/>
        </w:rPr>
        <w:t>year on year to</w:t>
      </w:r>
      <w:r w:rsidR="000A5166" w:rsidRPr="00D33DF7">
        <w:rPr>
          <w:rFonts w:ascii="Verdana" w:hAnsi="Verdana" w:cs="Arial"/>
          <w:bCs/>
          <w:color w:val="000000" w:themeColor="text1"/>
          <w:sz w:val="20"/>
          <w:szCs w:val="20"/>
          <w:lang w:val="en-GB" w:eastAsia="pl-PL"/>
        </w:rPr>
        <w:t xml:space="preserve"> PLN 39.7 million.</w:t>
      </w:r>
    </w:p>
    <w:p w14:paraId="63994672" w14:textId="77777777" w:rsidR="0088147C" w:rsidRPr="00D33DF7" w:rsidRDefault="0088147C" w:rsidP="0047685B">
      <w:pPr>
        <w:spacing w:after="0"/>
        <w:jc w:val="both"/>
        <w:rPr>
          <w:rFonts w:ascii="Verdana" w:hAnsi="Verdana" w:cs="Arial"/>
          <w:bCs/>
          <w:color w:val="000000" w:themeColor="text1"/>
          <w:sz w:val="20"/>
          <w:szCs w:val="20"/>
          <w:lang w:val="en-GB" w:eastAsia="pl-PL"/>
        </w:rPr>
      </w:pPr>
    </w:p>
    <w:p w14:paraId="18640179" w14:textId="6C27C3B0"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The Group</w:t>
      </w:r>
      <w:r w:rsidR="00724397" w:rsidRPr="00D33DF7">
        <w:rPr>
          <w:rFonts w:ascii="Verdana" w:hAnsi="Verdana" w:cs="Arial"/>
          <w:bCs/>
          <w:color w:val="000000" w:themeColor="text1"/>
          <w:sz w:val="20"/>
          <w:szCs w:val="20"/>
          <w:lang w:val="en-GB" w:eastAsia="pl-PL"/>
        </w:rPr>
        <w:t>’</w:t>
      </w:r>
      <w:r w:rsidRPr="00D33DF7">
        <w:rPr>
          <w:rFonts w:ascii="Verdana" w:hAnsi="Verdana" w:cs="Arial"/>
          <w:bCs/>
          <w:color w:val="000000" w:themeColor="text1"/>
          <w:sz w:val="20"/>
          <w:szCs w:val="20"/>
          <w:lang w:val="en-GB" w:eastAsia="pl-PL"/>
        </w:rPr>
        <w:t xml:space="preserve">s operating </w:t>
      </w:r>
      <w:r w:rsidR="00724397" w:rsidRPr="00D33DF7">
        <w:rPr>
          <w:rFonts w:ascii="Verdana" w:hAnsi="Verdana" w:cs="Arial"/>
          <w:bCs/>
          <w:color w:val="000000" w:themeColor="text1"/>
          <w:sz w:val="20"/>
          <w:szCs w:val="20"/>
          <w:lang w:val="en-GB" w:eastAsia="pl-PL"/>
        </w:rPr>
        <w:t>expenses</w:t>
      </w:r>
      <w:r w:rsidRPr="00D33DF7">
        <w:rPr>
          <w:rFonts w:ascii="Verdana" w:hAnsi="Verdana" w:cs="Arial"/>
          <w:bCs/>
          <w:color w:val="000000" w:themeColor="text1"/>
          <w:sz w:val="20"/>
          <w:szCs w:val="20"/>
          <w:lang w:val="en-GB" w:eastAsia="pl-PL"/>
        </w:rPr>
        <w:t xml:space="preserve"> amounted to PLN 91.2 million</w:t>
      </w:r>
      <w:r w:rsidR="00724397" w:rsidRPr="00D33DF7">
        <w:rPr>
          <w:rFonts w:ascii="Verdana" w:hAnsi="Verdana" w:cs="Arial"/>
          <w:bCs/>
          <w:color w:val="000000" w:themeColor="text1"/>
          <w:sz w:val="20"/>
          <w:szCs w:val="20"/>
          <w:lang w:val="en-GB" w:eastAsia="pl-PL"/>
        </w:rPr>
        <w:t xml:space="preserve"> in Q3 2025</w:t>
      </w:r>
      <w:r w:rsidRPr="00D33DF7">
        <w:rPr>
          <w:rFonts w:ascii="Verdana" w:hAnsi="Verdana" w:cs="Arial"/>
          <w:bCs/>
          <w:color w:val="000000" w:themeColor="text1"/>
          <w:sz w:val="20"/>
          <w:szCs w:val="20"/>
          <w:lang w:val="en-GB" w:eastAsia="pl-PL"/>
        </w:rPr>
        <w:t xml:space="preserve">, up 12.0% </w:t>
      </w:r>
      <w:r w:rsidR="00724397" w:rsidRPr="00D33DF7">
        <w:rPr>
          <w:rFonts w:ascii="Verdana" w:hAnsi="Verdana" w:cs="Arial"/>
          <w:bCs/>
          <w:color w:val="000000" w:themeColor="text1"/>
          <w:sz w:val="20"/>
          <w:szCs w:val="20"/>
          <w:lang w:val="en-GB" w:eastAsia="pl-PL"/>
        </w:rPr>
        <w:t>year on year</w:t>
      </w:r>
      <w:r w:rsidRPr="00D33DF7">
        <w:rPr>
          <w:rFonts w:ascii="Verdana" w:hAnsi="Verdana" w:cs="Arial"/>
          <w:bCs/>
          <w:color w:val="000000" w:themeColor="text1"/>
          <w:sz w:val="20"/>
          <w:szCs w:val="20"/>
          <w:lang w:val="en-GB" w:eastAsia="pl-PL"/>
        </w:rPr>
        <w:t xml:space="preserve">. It was the sixth consecutive quarter </w:t>
      </w:r>
      <w:r w:rsidR="00724397" w:rsidRPr="00D33DF7">
        <w:rPr>
          <w:rFonts w:ascii="Verdana" w:hAnsi="Verdana" w:cs="Arial"/>
          <w:bCs/>
          <w:color w:val="000000" w:themeColor="text1"/>
          <w:sz w:val="20"/>
          <w:szCs w:val="20"/>
          <w:lang w:val="en-GB" w:eastAsia="pl-PL"/>
        </w:rPr>
        <w:t>when</w:t>
      </w:r>
      <w:r w:rsidRPr="00D33DF7">
        <w:rPr>
          <w:rFonts w:ascii="Verdana" w:hAnsi="Verdana" w:cs="Arial"/>
          <w:bCs/>
          <w:color w:val="000000" w:themeColor="text1"/>
          <w:sz w:val="20"/>
          <w:szCs w:val="20"/>
          <w:lang w:val="en-GB" w:eastAsia="pl-PL"/>
        </w:rPr>
        <w:t xml:space="preserve"> </w:t>
      </w:r>
      <w:r w:rsidR="00F610D8" w:rsidRPr="00D33DF7">
        <w:rPr>
          <w:rFonts w:ascii="Verdana" w:hAnsi="Verdana" w:cs="Arial"/>
          <w:bCs/>
          <w:color w:val="000000" w:themeColor="text1"/>
          <w:sz w:val="20"/>
          <w:szCs w:val="20"/>
          <w:lang w:val="en-GB" w:eastAsia="pl-PL"/>
        </w:rPr>
        <w:t xml:space="preserve">the </w:t>
      </w:r>
      <w:r w:rsidRPr="00D33DF7">
        <w:rPr>
          <w:rFonts w:ascii="Verdana" w:hAnsi="Verdana" w:cs="Arial"/>
          <w:bCs/>
          <w:color w:val="000000" w:themeColor="text1"/>
          <w:sz w:val="20"/>
          <w:szCs w:val="20"/>
          <w:lang w:val="en-GB" w:eastAsia="pl-PL"/>
        </w:rPr>
        <w:t>revenue growth</w:t>
      </w:r>
      <w:r w:rsidR="00F610D8" w:rsidRPr="00D33DF7">
        <w:rPr>
          <w:rFonts w:ascii="Verdana" w:hAnsi="Verdana" w:cs="Arial"/>
          <w:bCs/>
          <w:color w:val="000000" w:themeColor="text1"/>
          <w:sz w:val="20"/>
          <w:szCs w:val="20"/>
          <w:lang w:val="en-GB" w:eastAsia="pl-PL"/>
        </w:rPr>
        <w:t xml:space="preserve"> rate</w:t>
      </w:r>
      <w:r w:rsidRPr="00D33DF7">
        <w:rPr>
          <w:rFonts w:ascii="Verdana" w:hAnsi="Verdana" w:cs="Arial"/>
          <w:bCs/>
          <w:color w:val="000000" w:themeColor="text1"/>
          <w:sz w:val="20"/>
          <w:szCs w:val="20"/>
          <w:lang w:val="en-GB" w:eastAsia="pl-PL"/>
        </w:rPr>
        <w:t xml:space="preserve"> exceeded the </w:t>
      </w:r>
      <w:r w:rsidR="00F610D8" w:rsidRPr="00D33DF7">
        <w:rPr>
          <w:rFonts w:ascii="Verdana" w:hAnsi="Verdana" w:cs="Arial"/>
          <w:bCs/>
          <w:color w:val="000000" w:themeColor="text1"/>
          <w:sz w:val="20"/>
          <w:szCs w:val="20"/>
          <w:lang w:val="en-GB" w:eastAsia="pl-PL"/>
        </w:rPr>
        <w:t xml:space="preserve">growth </w:t>
      </w:r>
      <w:r w:rsidRPr="00D33DF7">
        <w:rPr>
          <w:rFonts w:ascii="Verdana" w:hAnsi="Verdana" w:cs="Arial"/>
          <w:bCs/>
          <w:color w:val="000000" w:themeColor="text1"/>
          <w:sz w:val="20"/>
          <w:szCs w:val="20"/>
          <w:lang w:val="en-GB" w:eastAsia="pl-PL"/>
        </w:rPr>
        <w:t xml:space="preserve">rate of </w:t>
      </w:r>
      <w:r w:rsidR="00F610D8" w:rsidRPr="00D33DF7">
        <w:rPr>
          <w:rFonts w:ascii="Verdana" w:hAnsi="Verdana" w:cs="Arial"/>
          <w:bCs/>
          <w:color w:val="000000" w:themeColor="text1"/>
          <w:sz w:val="20"/>
          <w:szCs w:val="20"/>
          <w:lang w:val="en-GB" w:eastAsia="pl-PL"/>
        </w:rPr>
        <w:t>costs</w:t>
      </w:r>
      <w:r w:rsidRPr="00D33DF7">
        <w:rPr>
          <w:rFonts w:ascii="Verdana" w:hAnsi="Verdana" w:cs="Arial"/>
          <w:bCs/>
          <w:color w:val="000000" w:themeColor="text1"/>
          <w:sz w:val="20"/>
          <w:szCs w:val="20"/>
          <w:lang w:val="en-GB" w:eastAsia="pl-PL"/>
        </w:rPr>
        <w:t xml:space="preserve">. As a result, the cost/income ratio fell by 5.1 percentage points </w:t>
      </w:r>
      <w:r w:rsidR="00724397" w:rsidRPr="00D33DF7">
        <w:rPr>
          <w:rFonts w:ascii="Verdana" w:hAnsi="Verdana" w:cs="Arial"/>
          <w:bCs/>
          <w:color w:val="000000" w:themeColor="text1"/>
          <w:sz w:val="20"/>
          <w:szCs w:val="20"/>
          <w:lang w:val="en-GB" w:eastAsia="pl-PL"/>
        </w:rPr>
        <w:t>year on year</w:t>
      </w:r>
      <w:r w:rsidRPr="00D33DF7">
        <w:rPr>
          <w:rFonts w:ascii="Verdana" w:hAnsi="Verdana" w:cs="Arial"/>
          <w:bCs/>
          <w:color w:val="000000" w:themeColor="text1"/>
          <w:sz w:val="20"/>
          <w:szCs w:val="20"/>
          <w:lang w:val="en-GB" w:eastAsia="pl-PL"/>
        </w:rPr>
        <w:t xml:space="preserve"> to 67.5%.</w:t>
      </w:r>
    </w:p>
    <w:p w14:paraId="7B16147C" w14:textId="77777777" w:rsidR="0047685B" w:rsidRPr="00D33DF7" w:rsidRDefault="0047685B" w:rsidP="0047685B">
      <w:pPr>
        <w:spacing w:after="0"/>
        <w:jc w:val="both"/>
        <w:rPr>
          <w:rFonts w:ascii="Verdana" w:hAnsi="Verdana" w:cs="Arial"/>
          <w:bCs/>
          <w:color w:val="000000" w:themeColor="text1"/>
          <w:sz w:val="20"/>
          <w:szCs w:val="20"/>
          <w:lang w:val="en-GB" w:eastAsia="pl-PL"/>
        </w:rPr>
      </w:pPr>
    </w:p>
    <w:p w14:paraId="45C4379D" w14:textId="751FDAD7"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 xml:space="preserve">The </w:t>
      </w:r>
      <w:r w:rsidR="00F610D8" w:rsidRPr="00D33DF7">
        <w:rPr>
          <w:rFonts w:ascii="Verdana" w:hAnsi="Verdana" w:cs="Arial"/>
          <w:bCs/>
          <w:color w:val="000000" w:themeColor="text1"/>
          <w:sz w:val="20"/>
          <w:szCs w:val="20"/>
          <w:lang w:val="en-GB" w:eastAsia="pl-PL"/>
        </w:rPr>
        <w:t xml:space="preserve">GPW Group’s </w:t>
      </w:r>
      <w:r w:rsidRPr="00D33DF7">
        <w:rPr>
          <w:rFonts w:ascii="Verdana" w:hAnsi="Verdana" w:cs="Arial"/>
          <w:bCs/>
          <w:color w:val="000000" w:themeColor="text1"/>
          <w:sz w:val="20"/>
          <w:szCs w:val="20"/>
          <w:lang w:val="en-GB" w:eastAsia="pl-PL"/>
        </w:rPr>
        <w:t>EBITDA amounted to PLN 53.8 million</w:t>
      </w:r>
      <w:r w:rsidR="00F610D8" w:rsidRPr="00D33DF7">
        <w:rPr>
          <w:rFonts w:ascii="Verdana" w:hAnsi="Verdana" w:cs="Arial"/>
          <w:bCs/>
          <w:color w:val="000000" w:themeColor="text1"/>
          <w:sz w:val="20"/>
          <w:szCs w:val="20"/>
          <w:lang w:val="en-GB" w:eastAsia="pl-PL"/>
        </w:rPr>
        <w:t xml:space="preserve"> in Q3 2025</w:t>
      </w:r>
      <w:r w:rsidRPr="00D33DF7">
        <w:rPr>
          <w:rFonts w:ascii="Verdana" w:hAnsi="Verdana" w:cs="Arial"/>
          <w:bCs/>
          <w:color w:val="000000" w:themeColor="text1"/>
          <w:sz w:val="20"/>
          <w:szCs w:val="20"/>
          <w:lang w:val="en-GB" w:eastAsia="pl-PL"/>
        </w:rPr>
        <w:t xml:space="preserve">, an increase of 39.1% </w:t>
      </w:r>
      <w:r w:rsidR="00724397" w:rsidRPr="00D33DF7">
        <w:rPr>
          <w:rFonts w:ascii="Verdana" w:hAnsi="Verdana" w:cs="Arial"/>
          <w:bCs/>
          <w:color w:val="000000" w:themeColor="text1"/>
          <w:sz w:val="20"/>
          <w:szCs w:val="20"/>
          <w:lang w:val="en-GB" w:eastAsia="pl-PL"/>
        </w:rPr>
        <w:t>year on year</w:t>
      </w:r>
      <w:r w:rsidRPr="00D33DF7">
        <w:rPr>
          <w:rFonts w:ascii="Verdana" w:hAnsi="Verdana" w:cs="Arial"/>
          <w:bCs/>
          <w:color w:val="000000" w:themeColor="text1"/>
          <w:sz w:val="20"/>
          <w:szCs w:val="20"/>
          <w:lang w:val="en-GB" w:eastAsia="pl-PL"/>
        </w:rPr>
        <w:t xml:space="preserve">. The EBITDA margin reached 39.8%, 5.3 p.p. more than </w:t>
      </w:r>
      <w:r w:rsidR="00F610D8" w:rsidRPr="00D33DF7">
        <w:rPr>
          <w:rFonts w:ascii="Verdana" w:hAnsi="Verdana" w:cs="Arial"/>
          <w:bCs/>
          <w:color w:val="000000" w:themeColor="text1"/>
          <w:sz w:val="20"/>
          <w:szCs w:val="20"/>
          <w:lang w:val="en-GB" w:eastAsia="pl-PL"/>
        </w:rPr>
        <w:t>in Q3 2025</w:t>
      </w:r>
      <w:r w:rsidRPr="00D33DF7">
        <w:rPr>
          <w:rFonts w:ascii="Verdana" w:hAnsi="Verdana" w:cs="Arial"/>
          <w:bCs/>
          <w:color w:val="000000" w:themeColor="text1"/>
          <w:sz w:val="20"/>
          <w:szCs w:val="20"/>
          <w:lang w:val="en-GB" w:eastAsia="pl-PL"/>
        </w:rPr>
        <w:t>. Net profit increased by 29.5%</w:t>
      </w:r>
      <w:r w:rsidR="00724397" w:rsidRPr="00D33DF7">
        <w:rPr>
          <w:rFonts w:ascii="Verdana" w:hAnsi="Verdana" w:cs="Arial"/>
          <w:bCs/>
          <w:color w:val="000000" w:themeColor="text1"/>
          <w:sz w:val="20"/>
          <w:szCs w:val="20"/>
          <w:lang w:val="en-GB" w:eastAsia="pl-PL"/>
        </w:rPr>
        <w:t xml:space="preserve"> year on year</w:t>
      </w:r>
      <w:r w:rsidRPr="00D33DF7">
        <w:rPr>
          <w:rFonts w:ascii="Verdana" w:hAnsi="Verdana" w:cs="Arial"/>
          <w:bCs/>
          <w:color w:val="000000" w:themeColor="text1"/>
          <w:sz w:val="20"/>
          <w:szCs w:val="20"/>
          <w:lang w:val="en-GB" w:eastAsia="pl-PL"/>
        </w:rPr>
        <w:t xml:space="preserve"> to PLN 49.2 million.</w:t>
      </w:r>
    </w:p>
    <w:p w14:paraId="664FB7F3" w14:textId="77777777" w:rsidR="00C36878" w:rsidRPr="00D33DF7" w:rsidRDefault="00C36878" w:rsidP="0047685B">
      <w:pPr>
        <w:spacing w:after="0"/>
        <w:jc w:val="both"/>
        <w:rPr>
          <w:rFonts w:ascii="Verdana" w:hAnsi="Verdana" w:cs="Arial"/>
          <w:bCs/>
          <w:color w:val="000000" w:themeColor="text1"/>
          <w:sz w:val="20"/>
          <w:szCs w:val="20"/>
          <w:lang w:val="en-GB" w:eastAsia="pl-PL"/>
        </w:rPr>
      </w:pPr>
    </w:p>
    <w:p w14:paraId="5C501075" w14:textId="45ECED97" w:rsidR="000A5166" w:rsidRPr="00D33DF7" w:rsidRDefault="00121E91"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w:t>
      </w:r>
      <w:r w:rsidRPr="00D33DF7">
        <w:rPr>
          <w:rFonts w:ascii="Verdana" w:hAnsi="Verdana" w:cs="Arial"/>
          <w:bCs/>
          <w:i/>
          <w:iCs/>
          <w:color w:val="000000" w:themeColor="text1"/>
          <w:sz w:val="20"/>
          <w:szCs w:val="20"/>
          <w:lang w:val="en-GB" w:eastAsia="pl-PL"/>
        </w:rPr>
        <w:t>Q3 2025</w:t>
      </w:r>
      <w:r w:rsidR="000A5166" w:rsidRPr="00D33DF7">
        <w:rPr>
          <w:rFonts w:ascii="Verdana" w:hAnsi="Verdana" w:cs="Arial"/>
          <w:bCs/>
          <w:i/>
          <w:iCs/>
          <w:color w:val="000000" w:themeColor="text1"/>
          <w:sz w:val="20"/>
          <w:szCs w:val="20"/>
          <w:lang w:val="en-GB" w:eastAsia="pl-PL"/>
        </w:rPr>
        <w:t xml:space="preserve"> was</w:t>
      </w:r>
      <w:r w:rsidRPr="00D33DF7">
        <w:rPr>
          <w:rFonts w:ascii="Verdana" w:hAnsi="Verdana" w:cs="Arial"/>
          <w:bCs/>
          <w:i/>
          <w:iCs/>
          <w:color w:val="000000" w:themeColor="text1"/>
          <w:sz w:val="20"/>
          <w:szCs w:val="20"/>
          <w:lang w:val="en-GB" w:eastAsia="pl-PL"/>
        </w:rPr>
        <w:t xml:space="preserve"> yet</w:t>
      </w:r>
      <w:r w:rsidR="000A5166" w:rsidRPr="00D33DF7">
        <w:rPr>
          <w:rFonts w:ascii="Verdana" w:hAnsi="Verdana" w:cs="Arial"/>
          <w:bCs/>
          <w:i/>
          <w:iCs/>
          <w:color w:val="000000" w:themeColor="text1"/>
          <w:sz w:val="20"/>
          <w:szCs w:val="20"/>
          <w:lang w:val="en-GB" w:eastAsia="pl-PL"/>
        </w:rPr>
        <w:t xml:space="preserve"> another period of strong revenue growth for the GPW Group, both </w:t>
      </w:r>
      <w:r w:rsidRPr="00D33DF7">
        <w:rPr>
          <w:rFonts w:ascii="Verdana" w:hAnsi="Verdana" w:cs="Arial"/>
          <w:bCs/>
          <w:i/>
          <w:iCs/>
          <w:color w:val="000000" w:themeColor="text1"/>
          <w:sz w:val="20"/>
          <w:szCs w:val="20"/>
          <w:lang w:val="en-GB" w:eastAsia="pl-PL"/>
        </w:rPr>
        <w:t>o</w:t>
      </w:r>
      <w:r w:rsidR="000A5166" w:rsidRPr="00D33DF7">
        <w:rPr>
          <w:rFonts w:ascii="Verdana" w:hAnsi="Verdana" w:cs="Arial"/>
          <w:bCs/>
          <w:i/>
          <w:iCs/>
          <w:color w:val="000000" w:themeColor="text1"/>
          <w:sz w:val="20"/>
          <w:szCs w:val="20"/>
          <w:lang w:val="en-GB" w:eastAsia="pl-PL"/>
        </w:rPr>
        <w:t xml:space="preserve">n the Financial Market and </w:t>
      </w:r>
      <w:r w:rsidRPr="00D33DF7">
        <w:rPr>
          <w:rFonts w:ascii="Verdana" w:hAnsi="Verdana" w:cs="Arial"/>
          <w:bCs/>
          <w:i/>
          <w:iCs/>
          <w:color w:val="000000" w:themeColor="text1"/>
          <w:sz w:val="20"/>
          <w:szCs w:val="20"/>
          <w:lang w:val="en-GB" w:eastAsia="pl-PL"/>
        </w:rPr>
        <w:t xml:space="preserve">the </w:t>
      </w:r>
      <w:r w:rsidR="000A5166" w:rsidRPr="00D33DF7">
        <w:rPr>
          <w:rFonts w:ascii="Verdana" w:hAnsi="Verdana" w:cs="Arial"/>
          <w:bCs/>
          <w:i/>
          <w:iCs/>
          <w:color w:val="000000" w:themeColor="text1"/>
          <w:sz w:val="20"/>
          <w:szCs w:val="20"/>
          <w:lang w:val="en-GB" w:eastAsia="pl-PL"/>
        </w:rPr>
        <w:t xml:space="preserve">Commodity Market. The cost/income ratio fell to 65.3% </w:t>
      </w:r>
      <w:r w:rsidRPr="00D33DF7">
        <w:rPr>
          <w:rFonts w:ascii="Verdana" w:hAnsi="Verdana" w:cs="Arial"/>
          <w:bCs/>
          <w:i/>
          <w:iCs/>
          <w:color w:val="000000" w:themeColor="text1"/>
          <w:sz w:val="20"/>
          <w:szCs w:val="20"/>
          <w:lang w:val="en-GB" w:eastAsia="pl-PL"/>
        </w:rPr>
        <w:t xml:space="preserve">after Q3 2025 </w:t>
      </w:r>
      <w:r w:rsidR="000A5166" w:rsidRPr="00D33DF7">
        <w:rPr>
          <w:rFonts w:ascii="Verdana" w:hAnsi="Verdana" w:cs="Arial"/>
          <w:bCs/>
          <w:i/>
          <w:iCs/>
          <w:color w:val="000000" w:themeColor="text1"/>
          <w:sz w:val="20"/>
          <w:szCs w:val="20"/>
          <w:lang w:val="en-GB" w:eastAsia="pl-PL"/>
        </w:rPr>
        <w:t xml:space="preserve">and </w:t>
      </w:r>
      <w:r w:rsidR="0043344F" w:rsidRPr="00D33DF7">
        <w:rPr>
          <w:rFonts w:ascii="Verdana" w:hAnsi="Verdana" w:cs="Arial"/>
          <w:bCs/>
          <w:i/>
          <w:iCs/>
          <w:color w:val="000000" w:themeColor="text1"/>
          <w:sz w:val="20"/>
          <w:szCs w:val="20"/>
          <w:lang w:val="en-GB" w:eastAsia="pl-PL"/>
        </w:rPr>
        <w:t>aligned</w:t>
      </w:r>
      <w:r w:rsidR="000A5166" w:rsidRPr="00D33DF7">
        <w:rPr>
          <w:rFonts w:ascii="Verdana" w:hAnsi="Verdana" w:cs="Arial"/>
          <w:bCs/>
          <w:i/>
          <w:iCs/>
          <w:color w:val="000000" w:themeColor="text1"/>
          <w:sz w:val="20"/>
          <w:szCs w:val="20"/>
          <w:lang w:val="en-GB" w:eastAsia="pl-PL"/>
        </w:rPr>
        <w:t xml:space="preserve"> with the </w:t>
      </w:r>
      <w:r w:rsidRPr="00D33DF7">
        <w:rPr>
          <w:rFonts w:ascii="Verdana" w:hAnsi="Verdana" w:cs="Arial"/>
          <w:bCs/>
          <w:i/>
          <w:iCs/>
          <w:color w:val="000000" w:themeColor="text1"/>
          <w:sz w:val="20"/>
          <w:szCs w:val="20"/>
          <w:lang w:val="en-GB" w:eastAsia="pl-PL"/>
        </w:rPr>
        <w:t xml:space="preserve">level of our </w:t>
      </w:r>
      <w:r w:rsidR="000A5166" w:rsidRPr="00D33DF7">
        <w:rPr>
          <w:rFonts w:ascii="Verdana" w:hAnsi="Verdana" w:cs="Arial"/>
          <w:bCs/>
          <w:i/>
          <w:iCs/>
          <w:color w:val="000000" w:themeColor="text1"/>
          <w:sz w:val="20"/>
          <w:szCs w:val="20"/>
          <w:lang w:val="en-GB" w:eastAsia="pl-PL"/>
        </w:rPr>
        <w:t xml:space="preserve">financial </w:t>
      </w:r>
      <w:r w:rsidRPr="00D33DF7">
        <w:rPr>
          <w:rFonts w:ascii="Verdana" w:hAnsi="Verdana" w:cs="Arial"/>
          <w:bCs/>
          <w:i/>
          <w:iCs/>
          <w:color w:val="000000" w:themeColor="text1"/>
          <w:sz w:val="20"/>
          <w:szCs w:val="20"/>
          <w:lang w:val="en-GB" w:eastAsia="pl-PL"/>
        </w:rPr>
        <w:t>ambition</w:t>
      </w:r>
      <w:r w:rsidR="000A5166" w:rsidRPr="00D33DF7">
        <w:rPr>
          <w:rFonts w:ascii="Verdana" w:hAnsi="Verdana" w:cs="Arial"/>
          <w:bCs/>
          <w:i/>
          <w:iCs/>
          <w:color w:val="000000" w:themeColor="text1"/>
          <w:sz w:val="20"/>
          <w:szCs w:val="20"/>
          <w:lang w:val="en-GB" w:eastAsia="pl-PL"/>
        </w:rPr>
        <w:t xml:space="preserve"> announced a year ago as part of the Strategic Development Directions 2025-2027. Thanks to dynamic profit growth, the return on equity (ROE) for the last twelve months reached </w:t>
      </w:r>
      <w:r w:rsidR="0036248D" w:rsidRPr="00D33DF7">
        <w:rPr>
          <w:rFonts w:ascii="Verdana" w:hAnsi="Verdana" w:cs="Arial"/>
          <w:bCs/>
          <w:i/>
          <w:iCs/>
          <w:color w:val="000000" w:themeColor="text1"/>
          <w:sz w:val="20"/>
          <w:szCs w:val="20"/>
          <w:lang w:val="en-GB" w:eastAsia="pl-PL"/>
        </w:rPr>
        <w:t xml:space="preserve">the level of our financial ambition at </w:t>
      </w:r>
      <w:r w:rsidR="000A5166" w:rsidRPr="00D33DF7">
        <w:rPr>
          <w:rFonts w:ascii="Verdana" w:hAnsi="Verdana" w:cs="Arial"/>
          <w:bCs/>
          <w:i/>
          <w:iCs/>
          <w:color w:val="000000" w:themeColor="text1"/>
          <w:sz w:val="20"/>
          <w:szCs w:val="20"/>
          <w:lang w:val="en-GB" w:eastAsia="pl-PL"/>
        </w:rPr>
        <w:t xml:space="preserve">18.1%. We are </w:t>
      </w:r>
      <w:r w:rsidR="0036248D" w:rsidRPr="00D33DF7">
        <w:rPr>
          <w:rFonts w:ascii="Verdana" w:hAnsi="Verdana" w:cs="Arial"/>
          <w:bCs/>
          <w:i/>
          <w:iCs/>
          <w:color w:val="000000" w:themeColor="text1"/>
          <w:sz w:val="20"/>
          <w:szCs w:val="20"/>
          <w:lang w:val="en-GB" w:eastAsia="pl-PL"/>
        </w:rPr>
        <w:t>delighted</w:t>
      </w:r>
      <w:r w:rsidR="000A5166" w:rsidRPr="00D33DF7">
        <w:rPr>
          <w:rFonts w:ascii="Verdana" w:hAnsi="Verdana" w:cs="Arial"/>
          <w:bCs/>
          <w:i/>
          <w:iCs/>
          <w:color w:val="000000" w:themeColor="text1"/>
          <w:sz w:val="20"/>
          <w:szCs w:val="20"/>
          <w:lang w:val="en-GB" w:eastAsia="pl-PL"/>
        </w:rPr>
        <w:t xml:space="preserve"> that these very good results are reflected in the </w:t>
      </w:r>
      <w:r w:rsidR="0036248D" w:rsidRPr="00D33DF7">
        <w:rPr>
          <w:rFonts w:ascii="Verdana" w:hAnsi="Verdana" w:cs="Arial"/>
          <w:bCs/>
          <w:i/>
          <w:iCs/>
          <w:color w:val="000000" w:themeColor="text1"/>
          <w:sz w:val="20"/>
          <w:szCs w:val="20"/>
          <w:lang w:val="en-GB" w:eastAsia="pl-PL"/>
        </w:rPr>
        <w:t>GPW</w:t>
      </w:r>
      <w:r w:rsidR="000A5166" w:rsidRPr="00D33DF7">
        <w:rPr>
          <w:rFonts w:ascii="Verdana" w:hAnsi="Verdana" w:cs="Arial"/>
          <w:bCs/>
          <w:i/>
          <w:iCs/>
          <w:color w:val="000000" w:themeColor="text1"/>
          <w:sz w:val="20"/>
          <w:szCs w:val="20"/>
          <w:lang w:val="en-GB" w:eastAsia="pl-PL"/>
        </w:rPr>
        <w:t xml:space="preserve"> share price. </w:t>
      </w:r>
      <w:r w:rsidR="0036248D" w:rsidRPr="00D33DF7">
        <w:rPr>
          <w:rFonts w:ascii="Verdana" w:hAnsi="Verdana" w:cs="Arial"/>
          <w:bCs/>
          <w:i/>
          <w:iCs/>
          <w:color w:val="000000" w:themeColor="text1"/>
          <w:sz w:val="20"/>
          <w:szCs w:val="20"/>
          <w:lang w:val="en-GB" w:eastAsia="pl-PL"/>
        </w:rPr>
        <w:t xml:space="preserve">GPW’s </w:t>
      </w:r>
      <w:r w:rsidR="000A5166" w:rsidRPr="00D33DF7">
        <w:rPr>
          <w:rFonts w:ascii="Verdana" w:hAnsi="Verdana" w:cs="Arial"/>
          <w:bCs/>
          <w:i/>
          <w:iCs/>
          <w:color w:val="000000" w:themeColor="text1"/>
          <w:sz w:val="20"/>
          <w:szCs w:val="20"/>
          <w:lang w:val="en-GB" w:eastAsia="pl-PL"/>
        </w:rPr>
        <w:t xml:space="preserve">market capitalisation </w:t>
      </w:r>
      <w:r w:rsidR="0036248D" w:rsidRPr="00D33DF7">
        <w:rPr>
          <w:rFonts w:ascii="Verdana" w:hAnsi="Verdana" w:cs="Arial"/>
          <w:bCs/>
          <w:i/>
          <w:iCs/>
          <w:color w:val="000000" w:themeColor="text1"/>
          <w:sz w:val="20"/>
          <w:szCs w:val="20"/>
          <w:lang w:val="en-GB" w:eastAsia="pl-PL"/>
        </w:rPr>
        <w:t>including</w:t>
      </w:r>
      <w:r w:rsidR="000A5166" w:rsidRPr="00D33DF7">
        <w:rPr>
          <w:rFonts w:ascii="Verdana" w:hAnsi="Verdana" w:cs="Arial"/>
          <w:bCs/>
          <w:i/>
          <w:iCs/>
          <w:color w:val="000000" w:themeColor="text1"/>
          <w:sz w:val="20"/>
          <w:szCs w:val="20"/>
          <w:lang w:val="en-GB" w:eastAsia="pl-PL"/>
        </w:rPr>
        <w:t xml:space="preserve"> the dividend paid for 2024 has increased by over PLN 1 billion</w:t>
      </w:r>
      <w:r w:rsidR="0036248D" w:rsidRPr="00D33DF7">
        <w:rPr>
          <w:rFonts w:ascii="Verdana" w:hAnsi="Verdana" w:cs="Arial"/>
          <w:bCs/>
          <w:i/>
          <w:iCs/>
          <w:color w:val="000000" w:themeColor="text1"/>
          <w:sz w:val="20"/>
          <w:szCs w:val="20"/>
          <w:lang w:val="en-GB" w:eastAsia="pl-PL"/>
        </w:rPr>
        <w:t xml:space="preserve"> year to date</w:t>
      </w:r>
      <w:r w:rsidR="000A5166" w:rsidRPr="00D33DF7">
        <w:rPr>
          <w:rFonts w:ascii="Verdana" w:hAnsi="Verdana" w:cs="Arial"/>
          <w:bCs/>
          <w:i/>
          <w:iCs/>
          <w:color w:val="000000" w:themeColor="text1"/>
          <w:sz w:val="20"/>
          <w:szCs w:val="20"/>
          <w:lang w:val="en-GB" w:eastAsia="pl-PL"/>
        </w:rPr>
        <w:t xml:space="preserve"> and the share price has reached a historic </w:t>
      </w:r>
      <w:r w:rsidR="0036248D" w:rsidRPr="00D33DF7">
        <w:rPr>
          <w:rFonts w:ascii="Verdana" w:hAnsi="Verdana" w:cs="Arial"/>
          <w:bCs/>
          <w:i/>
          <w:iCs/>
          <w:color w:val="000000" w:themeColor="text1"/>
          <w:sz w:val="20"/>
          <w:szCs w:val="20"/>
          <w:lang w:val="en-GB" w:eastAsia="pl-PL"/>
        </w:rPr>
        <w:t>high</w:t>
      </w:r>
      <w:r w:rsidR="000A5166" w:rsidRPr="00D33DF7">
        <w:rPr>
          <w:rFonts w:ascii="Verdana" w:hAnsi="Verdana" w:cs="Arial"/>
          <w:bCs/>
          <w:i/>
          <w:iCs/>
          <w:color w:val="000000" w:themeColor="text1"/>
          <w:sz w:val="20"/>
          <w:szCs w:val="20"/>
          <w:lang w:val="en-GB" w:eastAsia="pl-PL"/>
        </w:rPr>
        <w:t xml:space="preserve"> of PLN 62.9,</w:t>
      </w:r>
      <w:r w:rsidR="0036248D" w:rsidRPr="00D33DF7">
        <w:rPr>
          <w:rFonts w:ascii="Verdana" w:hAnsi="Verdana" w:cs="Arial"/>
          <w:bCs/>
          <w:color w:val="000000" w:themeColor="text1"/>
          <w:sz w:val="20"/>
          <w:szCs w:val="20"/>
          <w:lang w:val="en-GB" w:eastAsia="pl-PL"/>
        </w:rPr>
        <w:t>”</w:t>
      </w:r>
      <w:r w:rsidR="000A5166" w:rsidRPr="00D33DF7">
        <w:rPr>
          <w:rFonts w:ascii="Verdana" w:hAnsi="Verdana" w:cs="Arial"/>
          <w:bCs/>
          <w:color w:val="000000" w:themeColor="text1"/>
          <w:sz w:val="20"/>
          <w:szCs w:val="20"/>
          <w:lang w:val="en-GB" w:eastAsia="pl-PL"/>
        </w:rPr>
        <w:t xml:space="preserve"> </w:t>
      </w:r>
      <w:r w:rsidR="0036248D" w:rsidRPr="00D33DF7">
        <w:rPr>
          <w:rFonts w:ascii="Verdana" w:hAnsi="Verdana" w:cs="Arial"/>
          <w:bCs/>
          <w:color w:val="000000" w:themeColor="text1"/>
          <w:sz w:val="20"/>
          <w:szCs w:val="20"/>
          <w:lang w:val="en-GB" w:eastAsia="pl-PL"/>
        </w:rPr>
        <w:t>said</w:t>
      </w:r>
      <w:r w:rsidR="000A5166" w:rsidRPr="00D33DF7">
        <w:rPr>
          <w:rFonts w:ascii="Verdana" w:hAnsi="Verdana" w:cs="Arial"/>
          <w:bCs/>
          <w:color w:val="000000" w:themeColor="text1"/>
          <w:sz w:val="20"/>
          <w:szCs w:val="20"/>
          <w:lang w:val="en-GB" w:eastAsia="pl-PL"/>
        </w:rPr>
        <w:t xml:space="preserve"> Tomasz Bardziłowski, President of the Management Board of the Warsaw Stock Exchange.</w:t>
      </w:r>
    </w:p>
    <w:p w14:paraId="4BA61EB4" w14:textId="1CFF98BD" w:rsidR="004720C4" w:rsidRPr="00D33DF7" w:rsidRDefault="004720C4" w:rsidP="0047685B">
      <w:pPr>
        <w:spacing w:after="0"/>
        <w:jc w:val="both"/>
        <w:rPr>
          <w:rFonts w:ascii="Verdana" w:hAnsi="Verdana" w:cs="Arial"/>
          <w:bCs/>
          <w:color w:val="000000" w:themeColor="text1"/>
          <w:sz w:val="20"/>
          <w:szCs w:val="20"/>
          <w:lang w:val="en-GB" w:eastAsia="pl-PL"/>
        </w:rPr>
      </w:pPr>
    </w:p>
    <w:p w14:paraId="20917B9C" w14:textId="5A9C1D3C" w:rsidR="0036248D" w:rsidRPr="00D33DF7" w:rsidRDefault="0036248D" w:rsidP="0047685B">
      <w:pPr>
        <w:spacing w:after="0"/>
        <w:jc w:val="both"/>
        <w:rPr>
          <w:rFonts w:ascii="Verdana" w:hAnsi="Verdana" w:cs="Arial"/>
          <w:b/>
          <w:color w:val="5B9BD5" w:themeColor="accent1"/>
          <w:sz w:val="20"/>
          <w:szCs w:val="20"/>
          <w:lang w:val="en-GB" w:eastAsia="pl-PL"/>
        </w:rPr>
      </w:pPr>
      <w:r w:rsidRPr="00D33DF7">
        <w:rPr>
          <w:rFonts w:ascii="Verdana" w:hAnsi="Verdana" w:cs="Arial"/>
          <w:b/>
          <w:color w:val="5B9BD5" w:themeColor="accent1"/>
          <w:sz w:val="20"/>
          <w:szCs w:val="20"/>
          <w:lang w:val="en-GB" w:eastAsia="pl-PL"/>
        </w:rPr>
        <w:t>Historically high index performance</w:t>
      </w:r>
    </w:p>
    <w:p w14:paraId="072966F4" w14:textId="77777777" w:rsidR="0047685B" w:rsidRPr="00D33DF7" w:rsidRDefault="0047685B" w:rsidP="0047685B">
      <w:pPr>
        <w:spacing w:after="0"/>
        <w:jc w:val="both"/>
        <w:rPr>
          <w:rFonts w:ascii="Verdana" w:hAnsi="Verdana" w:cs="Arial"/>
          <w:bCs/>
          <w:color w:val="000000" w:themeColor="text1"/>
          <w:sz w:val="20"/>
          <w:szCs w:val="20"/>
          <w:lang w:val="en-GB" w:eastAsia="pl-PL"/>
        </w:rPr>
      </w:pPr>
    </w:p>
    <w:p w14:paraId="6C33C503" w14:textId="5467F25D" w:rsidR="000A5166" w:rsidRPr="00D33DF7" w:rsidDel="004720C4"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 xml:space="preserve">WIG20 </w:t>
      </w:r>
      <w:r w:rsidR="0036248D" w:rsidRPr="00D33DF7">
        <w:rPr>
          <w:rFonts w:ascii="Verdana" w:hAnsi="Verdana" w:cs="Arial"/>
          <w:bCs/>
          <w:color w:val="000000" w:themeColor="text1"/>
          <w:sz w:val="20"/>
          <w:szCs w:val="20"/>
          <w:lang w:val="en-GB" w:eastAsia="pl-PL"/>
        </w:rPr>
        <w:t>crossed the mark of</w:t>
      </w:r>
      <w:r w:rsidRPr="00D33DF7">
        <w:rPr>
          <w:rFonts w:ascii="Verdana" w:hAnsi="Verdana" w:cs="Arial"/>
          <w:bCs/>
          <w:color w:val="000000" w:themeColor="text1"/>
          <w:sz w:val="20"/>
          <w:szCs w:val="20"/>
          <w:lang w:val="en-GB" w:eastAsia="pl-PL"/>
        </w:rPr>
        <w:t xml:space="preserve"> 3,000</w:t>
      </w:r>
      <w:r w:rsidR="0036248D" w:rsidRPr="00D33DF7">
        <w:rPr>
          <w:rFonts w:ascii="Verdana" w:hAnsi="Verdana" w:cs="Arial"/>
          <w:bCs/>
          <w:color w:val="000000" w:themeColor="text1"/>
          <w:sz w:val="20"/>
          <w:szCs w:val="20"/>
          <w:lang w:val="en-GB" w:eastAsia="pl-PL"/>
        </w:rPr>
        <w:t xml:space="preserve"> </w:t>
      </w:r>
      <w:r w:rsidRPr="00D33DF7">
        <w:rPr>
          <w:rFonts w:ascii="Verdana" w:hAnsi="Verdana" w:cs="Arial"/>
          <w:bCs/>
          <w:color w:val="000000" w:themeColor="text1"/>
          <w:sz w:val="20"/>
          <w:szCs w:val="20"/>
          <w:lang w:val="en-GB" w:eastAsia="pl-PL"/>
        </w:rPr>
        <w:t>point</w:t>
      </w:r>
      <w:r w:rsidR="0036248D" w:rsidRPr="00D33DF7">
        <w:rPr>
          <w:rFonts w:ascii="Verdana" w:hAnsi="Verdana" w:cs="Arial"/>
          <w:bCs/>
          <w:color w:val="000000" w:themeColor="text1"/>
          <w:sz w:val="20"/>
          <w:szCs w:val="20"/>
          <w:lang w:val="en-GB" w:eastAsia="pl-PL"/>
        </w:rPr>
        <w:t>s</w:t>
      </w:r>
      <w:r w:rsidRPr="00D33DF7">
        <w:rPr>
          <w:rFonts w:ascii="Verdana" w:hAnsi="Verdana" w:cs="Arial"/>
          <w:bCs/>
          <w:color w:val="000000" w:themeColor="text1"/>
          <w:sz w:val="20"/>
          <w:szCs w:val="20"/>
          <w:lang w:val="en-GB" w:eastAsia="pl-PL"/>
        </w:rPr>
        <w:t xml:space="preserve"> </w:t>
      </w:r>
      <w:r w:rsidR="0036248D" w:rsidRPr="00D33DF7">
        <w:rPr>
          <w:rFonts w:ascii="Verdana" w:hAnsi="Verdana" w:cs="Arial"/>
          <w:bCs/>
          <w:color w:val="000000" w:themeColor="text1"/>
          <w:sz w:val="20"/>
          <w:szCs w:val="20"/>
          <w:lang w:val="en-GB" w:eastAsia="pl-PL"/>
        </w:rPr>
        <w:t xml:space="preserve">on 8 August </w:t>
      </w:r>
      <w:r w:rsidRPr="00D33DF7">
        <w:rPr>
          <w:rFonts w:ascii="Verdana" w:hAnsi="Verdana" w:cs="Arial"/>
          <w:bCs/>
          <w:color w:val="000000" w:themeColor="text1"/>
          <w:sz w:val="20"/>
          <w:szCs w:val="20"/>
          <w:lang w:val="en-GB" w:eastAsia="pl-PL"/>
        </w:rPr>
        <w:t xml:space="preserve">for the first time since May 2008, </w:t>
      </w:r>
      <w:r w:rsidR="0036248D" w:rsidRPr="00D33DF7">
        <w:rPr>
          <w:rFonts w:ascii="Verdana" w:hAnsi="Verdana" w:cs="Arial"/>
          <w:bCs/>
          <w:color w:val="000000" w:themeColor="text1"/>
          <w:sz w:val="20"/>
          <w:szCs w:val="20"/>
          <w:lang w:val="en-GB" w:eastAsia="pl-PL"/>
        </w:rPr>
        <w:t>closing</w:t>
      </w:r>
      <w:r w:rsidRPr="00D33DF7">
        <w:rPr>
          <w:rFonts w:ascii="Verdana" w:hAnsi="Verdana" w:cs="Arial"/>
          <w:bCs/>
          <w:color w:val="000000" w:themeColor="text1"/>
          <w:sz w:val="20"/>
          <w:szCs w:val="20"/>
          <w:lang w:val="en-GB" w:eastAsia="pl-PL"/>
        </w:rPr>
        <w:t xml:space="preserve"> the </w:t>
      </w:r>
      <w:r w:rsidR="00A070A8" w:rsidRPr="00D33DF7">
        <w:rPr>
          <w:rFonts w:ascii="Verdana" w:hAnsi="Verdana" w:cs="Arial"/>
          <w:bCs/>
          <w:color w:val="000000" w:themeColor="text1"/>
          <w:sz w:val="20"/>
          <w:szCs w:val="20"/>
          <w:lang w:val="en-GB" w:eastAsia="pl-PL"/>
        </w:rPr>
        <w:t>day</w:t>
      </w:r>
      <w:r w:rsidRPr="00D33DF7">
        <w:rPr>
          <w:rFonts w:ascii="Verdana" w:hAnsi="Verdana" w:cs="Arial"/>
          <w:bCs/>
          <w:color w:val="000000" w:themeColor="text1"/>
          <w:sz w:val="20"/>
          <w:szCs w:val="20"/>
          <w:lang w:val="en-GB" w:eastAsia="pl-PL"/>
        </w:rPr>
        <w:t xml:space="preserve"> at 3,022.19 points. </w:t>
      </w:r>
      <w:r w:rsidR="0036248D" w:rsidRPr="00D33DF7">
        <w:rPr>
          <w:rFonts w:ascii="Verdana" w:hAnsi="Verdana" w:cs="Arial"/>
          <w:bCs/>
          <w:color w:val="000000" w:themeColor="text1"/>
          <w:sz w:val="20"/>
          <w:szCs w:val="20"/>
          <w:lang w:val="en-GB" w:eastAsia="pl-PL"/>
        </w:rPr>
        <w:t>T</w:t>
      </w:r>
      <w:r w:rsidRPr="00D33DF7">
        <w:rPr>
          <w:rFonts w:ascii="Verdana" w:hAnsi="Verdana" w:cs="Arial"/>
          <w:bCs/>
          <w:color w:val="000000" w:themeColor="text1"/>
          <w:sz w:val="20"/>
          <w:szCs w:val="20"/>
          <w:lang w:val="en-GB" w:eastAsia="pl-PL"/>
        </w:rPr>
        <w:t xml:space="preserve">he </w:t>
      </w:r>
      <w:r w:rsidR="0036248D" w:rsidRPr="00D33DF7">
        <w:rPr>
          <w:rFonts w:ascii="Verdana" w:hAnsi="Verdana" w:cs="Arial"/>
          <w:bCs/>
          <w:color w:val="000000" w:themeColor="text1"/>
          <w:sz w:val="20"/>
          <w:szCs w:val="20"/>
          <w:lang w:val="en-GB" w:eastAsia="pl-PL"/>
        </w:rPr>
        <w:t xml:space="preserve">broad market index </w:t>
      </w:r>
      <w:r w:rsidRPr="00D33DF7">
        <w:rPr>
          <w:rFonts w:ascii="Verdana" w:hAnsi="Verdana" w:cs="Arial"/>
          <w:bCs/>
          <w:color w:val="000000" w:themeColor="text1"/>
          <w:sz w:val="20"/>
          <w:szCs w:val="20"/>
          <w:lang w:val="en-GB" w:eastAsia="pl-PL"/>
        </w:rPr>
        <w:t xml:space="preserve">WIG set a new record </w:t>
      </w:r>
      <w:r w:rsidR="00D44F76" w:rsidRPr="00D33DF7">
        <w:rPr>
          <w:rFonts w:ascii="Verdana" w:hAnsi="Verdana" w:cs="Arial"/>
          <w:bCs/>
          <w:color w:val="000000" w:themeColor="text1"/>
          <w:sz w:val="20"/>
          <w:szCs w:val="20"/>
          <w:lang w:val="en-GB" w:eastAsia="pl-PL"/>
        </w:rPr>
        <w:t>of</w:t>
      </w:r>
      <w:r w:rsidR="00D44F76" w:rsidRPr="00D33DF7">
        <w:rPr>
          <w:rFonts w:ascii="Verdana" w:hAnsi="Verdana" w:cs="Arial"/>
          <w:bCs/>
          <w:color w:val="000000" w:themeColor="text1"/>
          <w:sz w:val="20"/>
          <w:szCs w:val="20"/>
          <w:lang w:val="en-GB" w:eastAsia="pl-PL"/>
        </w:rPr>
        <w:t xml:space="preserve"> 113,459 points</w:t>
      </w:r>
      <w:r w:rsidR="00D44F76" w:rsidRPr="00D33DF7">
        <w:rPr>
          <w:rFonts w:ascii="Verdana" w:hAnsi="Verdana" w:cs="Arial"/>
          <w:bCs/>
          <w:color w:val="000000" w:themeColor="text1"/>
          <w:sz w:val="20"/>
          <w:szCs w:val="20"/>
          <w:lang w:val="en-GB" w:eastAsia="pl-PL"/>
        </w:rPr>
        <w:t xml:space="preserve"> </w:t>
      </w:r>
      <w:r w:rsidRPr="00D33DF7">
        <w:rPr>
          <w:rFonts w:ascii="Verdana" w:hAnsi="Verdana" w:cs="Arial"/>
          <w:bCs/>
          <w:color w:val="000000" w:themeColor="text1"/>
          <w:sz w:val="20"/>
          <w:szCs w:val="20"/>
          <w:lang w:val="en-GB" w:eastAsia="pl-PL"/>
        </w:rPr>
        <w:t>at the close of trading</w:t>
      </w:r>
      <w:r w:rsidR="0036248D" w:rsidRPr="00D33DF7">
        <w:rPr>
          <w:rFonts w:ascii="Verdana" w:hAnsi="Verdana" w:cs="Arial"/>
          <w:bCs/>
          <w:color w:val="000000" w:themeColor="text1"/>
          <w:sz w:val="20"/>
          <w:szCs w:val="20"/>
          <w:lang w:val="en-GB" w:eastAsia="pl-PL"/>
        </w:rPr>
        <w:t xml:space="preserve"> on 28 October</w:t>
      </w:r>
      <w:r w:rsidRPr="00D33DF7">
        <w:rPr>
          <w:rFonts w:ascii="Verdana" w:hAnsi="Verdana" w:cs="Arial"/>
          <w:bCs/>
          <w:color w:val="000000" w:themeColor="text1"/>
          <w:sz w:val="20"/>
          <w:szCs w:val="20"/>
          <w:lang w:val="en-GB" w:eastAsia="pl-PL"/>
        </w:rPr>
        <w:t xml:space="preserve">. The </w:t>
      </w:r>
      <w:r w:rsidR="0036248D" w:rsidRPr="00D33DF7">
        <w:rPr>
          <w:rFonts w:ascii="Verdana" w:hAnsi="Verdana" w:cs="Arial"/>
          <w:bCs/>
          <w:color w:val="000000" w:themeColor="text1"/>
          <w:sz w:val="20"/>
          <w:szCs w:val="20"/>
          <w:lang w:val="en-GB" w:eastAsia="pl-PL"/>
        </w:rPr>
        <w:t xml:space="preserve">mid- and small-cap </w:t>
      </w:r>
      <w:r w:rsidRPr="00D33DF7">
        <w:rPr>
          <w:rFonts w:ascii="Verdana" w:hAnsi="Verdana" w:cs="Arial"/>
          <w:bCs/>
          <w:color w:val="000000" w:themeColor="text1"/>
          <w:sz w:val="20"/>
          <w:szCs w:val="20"/>
          <w:lang w:val="en-GB" w:eastAsia="pl-PL"/>
        </w:rPr>
        <w:t xml:space="preserve">indices are also </w:t>
      </w:r>
      <w:r w:rsidR="00551560" w:rsidRPr="00D33DF7">
        <w:rPr>
          <w:rFonts w:ascii="Verdana" w:hAnsi="Verdana" w:cs="Arial"/>
          <w:bCs/>
          <w:color w:val="000000" w:themeColor="text1"/>
          <w:sz w:val="20"/>
          <w:szCs w:val="20"/>
          <w:lang w:val="en-GB" w:eastAsia="pl-PL"/>
        </w:rPr>
        <w:t>exceeding</w:t>
      </w:r>
      <w:r w:rsidRPr="00D33DF7">
        <w:rPr>
          <w:rFonts w:ascii="Verdana" w:hAnsi="Verdana" w:cs="Arial"/>
          <w:bCs/>
          <w:color w:val="000000" w:themeColor="text1"/>
          <w:sz w:val="20"/>
          <w:szCs w:val="20"/>
          <w:lang w:val="en-GB" w:eastAsia="pl-PL"/>
        </w:rPr>
        <w:t xml:space="preserve"> their all-time </w:t>
      </w:r>
      <w:r w:rsidR="00551560" w:rsidRPr="00D33DF7">
        <w:rPr>
          <w:rFonts w:ascii="Verdana" w:hAnsi="Verdana" w:cs="Arial"/>
          <w:bCs/>
          <w:color w:val="000000" w:themeColor="text1"/>
          <w:sz w:val="20"/>
          <w:szCs w:val="20"/>
          <w:lang w:val="en-GB" w:eastAsia="pl-PL"/>
        </w:rPr>
        <w:t>highs:</w:t>
      </w:r>
      <w:r w:rsidRPr="00D33DF7">
        <w:rPr>
          <w:rFonts w:ascii="Verdana" w:hAnsi="Verdana" w:cs="Arial"/>
          <w:bCs/>
          <w:color w:val="000000" w:themeColor="text1"/>
          <w:sz w:val="20"/>
          <w:szCs w:val="20"/>
          <w:lang w:val="en-GB" w:eastAsia="pl-PL"/>
        </w:rPr>
        <w:t xml:space="preserve"> mWIG40</w:t>
      </w:r>
      <w:r w:rsidR="00551560" w:rsidRPr="00D33DF7">
        <w:rPr>
          <w:rFonts w:ascii="Verdana" w:hAnsi="Verdana" w:cs="Arial"/>
          <w:bCs/>
          <w:color w:val="000000" w:themeColor="text1"/>
          <w:sz w:val="20"/>
          <w:szCs w:val="20"/>
          <w:lang w:val="en-GB" w:eastAsia="pl-PL"/>
        </w:rPr>
        <w:t xml:space="preserve"> has reached </w:t>
      </w:r>
      <w:r w:rsidRPr="00D33DF7">
        <w:rPr>
          <w:rFonts w:ascii="Verdana" w:hAnsi="Verdana" w:cs="Arial"/>
          <w:bCs/>
          <w:color w:val="000000" w:themeColor="text1"/>
          <w:sz w:val="20"/>
          <w:szCs w:val="20"/>
          <w:lang w:val="en-GB" w:eastAsia="pl-PL"/>
        </w:rPr>
        <w:t>8,205 points and sWIG80, 30,420 points.</w:t>
      </w:r>
    </w:p>
    <w:p w14:paraId="05399D64" w14:textId="4DD4750C" w:rsidR="00D91E93" w:rsidRPr="00D33DF7" w:rsidDel="004720C4" w:rsidRDefault="00D91E93" w:rsidP="0047685B">
      <w:pPr>
        <w:spacing w:after="0"/>
        <w:jc w:val="both"/>
        <w:rPr>
          <w:rFonts w:ascii="Verdana" w:hAnsi="Verdana" w:cs="Arial"/>
          <w:bCs/>
          <w:color w:val="000000" w:themeColor="text1"/>
          <w:sz w:val="20"/>
          <w:szCs w:val="20"/>
          <w:lang w:val="en-GB" w:eastAsia="pl-PL"/>
        </w:rPr>
      </w:pPr>
    </w:p>
    <w:p w14:paraId="6ED027BD" w14:textId="64A87837" w:rsidR="000A5166" w:rsidRPr="00D33DF7" w:rsidDel="004720C4" w:rsidRDefault="00551560"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T</w:t>
      </w:r>
      <w:r w:rsidR="000A5166" w:rsidRPr="00D33DF7">
        <w:rPr>
          <w:rFonts w:ascii="Verdana" w:hAnsi="Verdana" w:cs="Arial"/>
          <w:bCs/>
          <w:color w:val="000000" w:themeColor="text1"/>
          <w:sz w:val="20"/>
          <w:szCs w:val="20"/>
          <w:lang w:val="en-GB" w:eastAsia="pl-PL"/>
        </w:rPr>
        <w:t>he Warsaw Stock Exchange has been one of the strongest stock markets in the world</w:t>
      </w:r>
      <w:r w:rsidRPr="00D33DF7">
        <w:rPr>
          <w:rFonts w:ascii="Verdana" w:hAnsi="Verdana" w:cs="Arial"/>
          <w:bCs/>
          <w:color w:val="000000" w:themeColor="text1"/>
          <w:sz w:val="20"/>
          <w:szCs w:val="20"/>
          <w:lang w:val="en-GB" w:eastAsia="pl-PL"/>
        </w:rPr>
        <w:t xml:space="preserve"> since the beginning of 2025</w:t>
      </w:r>
      <w:r w:rsidR="000A5166" w:rsidRPr="00D33DF7">
        <w:rPr>
          <w:rFonts w:ascii="Verdana" w:hAnsi="Verdana" w:cs="Arial"/>
          <w:bCs/>
          <w:color w:val="000000" w:themeColor="text1"/>
          <w:sz w:val="20"/>
          <w:szCs w:val="20"/>
          <w:lang w:val="en-GB" w:eastAsia="pl-PL"/>
        </w:rPr>
        <w:t>. From January to 17 November, the main indices gained as follows: WIG 39.4%, WIG20 35.3%, mWIG40 31.4%</w:t>
      </w:r>
      <w:r w:rsidRPr="00D33DF7">
        <w:rPr>
          <w:rFonts w:ascii="Verdana" w:hAnsi="Verdana" w:cs="Arial"/>
          <w:bCs/>
          <w:color w:val="000000" w:themeColor="text1"/>
          <w:sz w:val="20"/>
          <w:szCs w:val="20"/>
          <w:lang w:val="en-GB" w:eastAsia="pl-PL"/>
        </w:rPr>
        <w:t>,</w:t>
      </w:r>
      <w:r w:rsidR="000A5166" w:rsidRPr="00D33DF7">
        <w:rPr>
          <w:rFonts w:ascii="Verdana" w:hAnsi="Verdana" w:cs="Arial"/>
          <w:bCs/>
          <w:color w:val="000000" w:themeColor="text1"/>
          <w:sz w:val="20"/>
          <w:szCs w:val="20"/>
          <w:lang w:val="en-GB" w:eastAsia="pl-PL"/>
        </w:rPr>
        <w:t xml:space="preserve"> and sWIG80 24.9%.</w:t>
      </w:r>
    </w:p>
    <w:p w14:paraId="7B10DB8E" w14:textId="77777777" w:rsidR="00EA0627" w:rsidRPr="00D33DF7" w:rsidRDefault="00EA0627" w:rsidP="0047685B">
      <w:pPr>
        <w:spacing w:after="0"/>
        <w:jc w:val="both"/>
        <w:rPr>
          <w:rFonts w:ascii="Verdana" w:hAnsi="Verdana" w:cs="Arial"/>
          <w:bCs/>
          <w:color w:val="000000" w:themeColor="text1"/>
          <w:sz w:val="20"/>
          <w:szCs w:val="20"/>
          <w:lang w:val="en-GB" w:eastAsia="pl-PL"/>
        </w:rPr>
      </w:pPr>
    </w:p>
    <w:p w14:paraId="5F905864" w14:textId="4798F36F" w:rsidR="00551560" w:rsidRPr="00D33DF7" w:rsidRDefault="00551560" w:rsidP="00551560">
      <w:pPr>
        <w:spacing w:after="0"/>
        <w:rPr>
          <w:rFonts w:ascii="Verdana" w:hAnsi="Verdana" w:cs="Arial"/>
          <w:b/>
          <w:color w:val="5B9BD5" w:themeColor="accent1"/>
          <w:sz w:val="20"/>
          <w:szCs w:val="20"/>
          <w:lang w:val="en-GB" w:eastAsia="pl-PL"/>
        </w:rPr>
      </w:pPr>
      <w:r w:rsidRPr="00D33DF7">
        <w:rPr>
          <w:rFonts w:ascii="Verdana" w:hAnsi="Verdana" w:cs="Arial"/>
          <w:b/>
          <w:color w:val="5B9BD5" w:themeColor="accent1"/>
          <w:sz w:val="20"/>
          <w:szCs w:val="20"/>
          <w:lang w:val="en-GB" w:eastAsia="pl-PL"/>
        </w:rPr>
        <w:t>New ETFs, stocks, and first retail covered bonds</w:t>
      </w:r>
    </w:p>
    <w:p w14:paraId="28FEC92E" w14:textId="77777777" w:rsidR="0047685B" w:rsidRPr="00D33DF7" w:rsidRDefault="0047685B" w:rsidP="0047685B">
      <w:pPr>
        <w:spacing w:after="0"/>
        <w:jc w:val="both"/>
        <w:rPr>
          <w:rFonts w:ascii="Verdana" w:hAnsi="Verdana" w:cs="Arial"/>
          <w:bCs/>
          <w:color w:val="000000" w:themeColor="text1"/>
          <w:sz w:val="20"/>
          <w:szCs w:val="20"/>
          <w:lang w:val="en-GB" w:eastAsia="pl-PL"/>
        </w:rPr>
      </w:pPr>
    </w:p>
    <w:p w14:paraId="18719CA9" w14:textId="6CD3C6D6"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 xml:space="preserve">Three new ETFs </w:t>
      </w:r>
      <w:r w:rsidR="00551560" w:rsidRPr="00D33DF7">
        <w:rPr>
          <w:rFonts w:ascii="Verdana" w:hAnsi="Verdana" w:cs="Arial"/>
          <w:bCs/>
          <w:color w:val="000000" w:themeColor="text1"/>
          <w:sz w:val="20"/>
          <w:szCs w:val="20"/>
          <w:lang w:val="en-GB" w:eastAsia="pl-PL"/>
        </w:rPr>
        <w:t>were newly listed</w:t>
      </w:r>
      <w:r w:rsidRPr="00D33DF7">
        <w:rPr>
          <w:rFonts w:ascii="Verdana" w:hAnsi="Verdana" w:cs="Arial"/>
          <w:bCs/>
          <w:color w:val="000000" w:themeColor="text1"/>
          <w:sz w:val="20"/>
          <w:szCs w:val="20"/>
          <w:lang w:val="en-GB" w:eastAsia="pl-PL"/>
        </w:rPr>
        <w:t xml:space="preserve"> on the </w:t>
      </w:r>
      <w:r w:rsidR="00551560" w:rsidRPr="00D33DF7">
        <w:rPr>
          <w:rFonts w:ascii="Verdana" w:hAnsi="Verdana" w:cs="Arial"/>
          <w:bCs/>
          <w:color w:val="000000" w:themeColor="text1"/>
          <w:sz w:val="20"/>
          <w:szCs w:val="20"/>
          <w:lang w:val="en-GB" w:eastAsia="pl-PL"/>
        </w:rPr>
        <w:t xml:space="preserve">GPW </w:t>
      </w:r>
      <w:r w:rsidRPr="00D33DF7">
        <w:rPr>
          <w:rFonts w:ascii="Verdana" w:hAnsi="Verdana" w:cs="Arial"/>
          <w:bCs/>
          <w:color w:val="000000" w:themeColor="text1"/>
          <w:sz w:val="20"/>
          <w:szCs w:val="20"/>
          <w:lang w:val="en-GB" w:eastAsia="pl-PL"/>
        </w:rPr>
        <w:t xml:space="preserve">Main Market in </w:t>
      </w:r>
      <w:r w:rsidR="00551560" w:rsidRPr="00D33DF7">
        <w:rPr>
          <w:rFonts w:ascii="Verdana" w:hAnsi="Verdana" w:cs="Arial"/>
          <w:bCs/>
          <w:color w:val="000000" w:themeColor="text1"/>
          <w:sz w:val="20"/>
          <w:szCs w:val="20"/>
          <w:lang w:val="en-GB" w:eastAsia="pl-PL"/>
        </w:rPr>
        <w:t>Q3</w:t>
      </w:r>
      <w:r w:rsidRPr="00D33DF7">
        <w:rPr>
          <w:rFonts w:ascii="Verdana" w:hAnsi="Verdana" w:cs="Arial"/>
          <w:bCs/>
          <w:color w:val="000000" w:themeColor="text1"/>
          <w:sz w:val="20"/>
          <w:szCs w:val="20"/>
          <w:lang w:val="en-GB" w:eastAsia="pl-PL"/>
        </w:rPr>
        <w:t xml:space="preserve"> 2025. </w:t>
      </w:r>
      <w:r w:rsidR="00435235" w:rsidRPr="00D33DF7">
        <w:rPr>
          <w:rFonts w:ascii="Verdana" w:hAnsi="Verdana" w:cs="Arial"/>
          <w:bCs/>
          <w:color w:val="000000" w:themeColor="text1"/>
          <w:sz w:val="20"/>
          <w:szCs w:val="20"/>
          <w:lang w:val="en-GB" w:eastAsia="pl-PL"/>
        </w:rPr>
        <w:t>The</w:t>
      </w:r>
      <w:r w:rsidR="0008196D" w:rsidRPr="00D33DF7">
        <w:rPr>
          <w:rFonts w:ascii="Verdana" w:hAnsi="Verdana" w:cs="Arial"/>
          <w:bCs/>
          <w:color w:val="000000" w:themeColor="text1"/>
          <w:sz w:val="20"/>
          <w:szCs w:val="20"/>
          <w:lang w:val="en-GB" w:eastAsia="pl-PL"/>
        </w:rPr>
        <w:t xml:space="preserve"> </w:t>
      </w:r>
      <w:r w:rsidR="0008196D" w:rsidRPr="00D33DF7">
        <w:rPr>
          <w:rFonts w:ascii="Verdana" w:hAnsi="Verdana" w:cs="Arial"/>
          <w:bCs/>
          <w:color w:val="000000" w:themeColor="text1"/>
          <w:sz w:val="20"/>
          <w:szCs w:val="20"/>
          <w:lang w:val="en-GB" w:eastAsia="pl-PL"/>
        </w:rPr>
        <w:t>Dywidenda Plus</w:t>
      </w:r>
      <w:r w:rsidR="00435235" w:rsidRPr="00D33DF7">
        <w:rPr>
          <w:rFonts w:ascii="Verdana" w:hAnsi="Verdana" w:cs="Arial"/>
          <w:bCs/>
          <w:color w:val="000000" w:themeColor="text1"/>
          <w:sz w:val="20"/>
          <w:szCs w:val="20"/>
          <w:lang w:val="en-GB" w:eastAsia="pl-PL"/>
        </w:rPr>
        <w:t xml:space="preserve"> </w:t>
      </w:r>
      <w:r w:rsidRPr="00D33DF7">
        <w:rPr>
          <w:rFonts w:ascii="Verdana" w:hAnsi="Verdana" w:cs="Arial"/>
          <w:bCs/>
          <w:color w:val="000000" w:themeColor="text1"/>
          <w:sz w:val="20"/>
          <w:szCs w:val="20"/>
          <w:lang w:val="en-GB" w:eastAsia="pl-PL"/>
        </w:rPr>
        <w:t xml:space="preserve">Beta ETF, based on the index of dividend-paying companies listed on the Warsaw Stock Exchange, and </w:t>
      </w:r>
      <w:r w:rsidR="00435235" w:rsidRPr="00D33DF7">
        <w:rPr>
          <w:rFonts w:ascii="Verdana" w:hAnsi="Verdana" w:cs="Arial"/>
          <w:bCs/>
          <w:color w:val="000000" w:themeColor="text1"/>
          <w:sz w:val="20"/>
          <w:szCs w:val="20"/>
          <w:lang w:val="en-GB" w:eastAsia="pl-PL"/>
        </w:rPr>
        <w:t xml:space="preserve">the </w:t>
      </w:r>
      <w:r w:rsidRPr="00D33DF7">
        <w:rPr>
          <w:rFonts w:ascii="Verdana" w:hAnsi="Verdana" w:cs="Arial"/>
          <w:bCs/>
          <w:color w:val="000000" w:themeColor="text1"/>
          <w:sz w:val="20"/>
          <w:szCs w:val="20"/>
          <w:lang w:val="en-GB" w:eastAsia="pl-PL"/>
        </w:rPr>
        <w:t>Future of Defence UCITS ETF, managed by HANetf ICAV, were introduced to trading</w:t>
      </w:r>
      <w:r w:rsidR="0054165E" w:rsidRPr="00D33DF7">
        <w:rPr>
          <w:rFonts w:ascii="Verdana" w:hAnsi="Verdana" w:cs="Arial"/>
          <w:bCs/>
          <w:color w:val="000000" w:themeColor="text1"/>
          <w:sz w:val="20"/>
          <w:szCs w:val="20"/>
          <w:lang w:val="en-GB" w:eastAsia="pl-PL"/>
        </w:rPr>
        <w:t xml:space="preserve"> in August</w:t>
      </w:r>
      <w:r w:rsidRPr="00D33DF7">
        <w:rPr>
          <w:rFonts w:ascii="Verdana" w:hAnsi="Verdana" w:cs="Arial"/>
          <w:bCs/>
          <w:color w:val="000000" w:themeColor="text1"/>
          <w:sz w:val="20"/>
          <w:szCs w:val="20"/>
          <w:lang w:val="en-GB" w:eastAsia="pl-PL"/>
        </w:rPr>
        <w:t xml:space="preserve">. This is the first thematic ETF listed on </w:t>
      </w:r>
      <w:r w:rsidR="0054165E" w:rsidRPr="00D33DF7">
        <w:rPr>
          <w:rFonts w:ascii="Verdana" w:hAnsi="Verdana" w:cs="Arial"/>
          <w:bCs/>
          <w:color w:val="000000" w:themeColor="text1"/>
          <w:sz w:val="20"/>
          <w:szCs w:val="20"/>
          <w:lang w:val="en-GB" w:eastAsia="pl-PL"/>
        </w:rPr>
        <w:t>GPW which</w:t>
      </w:r>
      <w:r w:rsidRPr="00D33DF7">
        <w:rPr>
          <w:rFonts w:ascii="Verdana" w:hAnsi="Verdana" w:cs="Arial"/>
          <w:bCs/>
          <w:color w:val="000000" w:themeColor="text1"/>
          <w:sz w:val="20"/>
          <w:szCs w:val="20"/>
          <w:lang w:val="en-GB" w:eastAsia="pl-PL"/>
        </w:rPr>
        <w:t xml:space="preserve"> provid</w:t>
      </w:r>
      <w:r w:rsidR="0054165E" w:rsidRPr="00D33DF7">
        <w:rPr>
          <w:rFonts w:ascii="Verdana" w:hAnsi="Verdana" w:cs="Arial"/>
          <w:bCs/>
          <w:color w:val="000000" w:themeColor="text1"/>
          <w:sz w:val="20"/>
          <w:szCs w:val="20"/>
          <w:lang w:val="en-GB" w:eastAsia="pl-PL"/>
        </w:rPr>
        <w:t>es</w:t>
      </w:r>
      <w:r w:rsidRPr="00D33DF7">
        <w:rPr>
          <w:rFonts w:ascii="Verdana" w:hAnsi="Verdana" w:cs="Arial"/>
          <w:bCs/>
          <w:color w:val="000000" w:themeColor="text1"/>
          <w:sz w:val="20"/>
          <w:szCs w:val="20"/>
          <w:lang w:val="en-GB" w:eastAsia="pl-PL"/>
        </w:rPr>
        <w:t xml:space="preserve"> exposure to the modern defence and cybersecurity sector. </w:t>
      </w:r>
      <w:r w:rsidR="0008196D" w:rsidRPr="00D33DF7">
        <w:rPr>
          <w:rFonts w:ascii="Verdana" w:hAnsi="Verdana" w:cs="Arial"/>
          <w:bCs/>
          <w:color w:val="000000" w:themeColor="text1"/>
          <w:sz w:val="20"/>
          <w:szCs w:val="20"/>
          <w:lang w:val="en-GB" w:eastAsia="pl-PL"/>
        </w:rPr>
        <w:t xml:space="preserve">The </w:t>
      </w:r>
      <w:r w:rsidR="0008196D" w:rsidRPr="00D33DF7">
        <w:rPr>
          <w:rFonts w:ascii="Verdana" w:hAnsi="Verdana" w:cs="Arial"/>
          <w:bCs/>
          <w:color w:val="000000" w:themeColor="text1"/>
          <w:sz w:val="20"/>
          <w:szCs w:val="20"/>
          <w:lang w:val="en-GB" w:eastAsia="pl-PL"/>
        </w:rPr>
        <w:t>Bitcoin</w:t>
      </w:r>
      <w:r w:rsidR="0008196D" w:rsidRPr="00D33DF7">
        <w:rPr>
          <w:rFonts w:ascii="Verdana" w:hAnsi="Verdana" w:cs="Arial"/>
          <w:bCs/>
          <w:color w:val="000000" w:themeColor="text1"/>
          <w:sz w:val="20"/>
          <w:szCs w:val="20"/>
          <w:lang w:val="en-GB" w:eastAsia="pl-PL"/>
        </w:rPr>
        <w:t xml:space="preserve"> </w:t>
      </w:r>
      <w:r w:rsidRPr="00D33DF7">
        <w:rPr>
          <w:rFonts w:ascii="Verdana" w:hAnsi="Verdana" w:cs="Arial"/>
          <w:bCs/>
          <w:color w:val="000000" w:themeColor="text1"/>
          <w:sz w:val="20"/>
          <w:szCs w:val="20"/>
          <w:lang w:val="en-GB" w:eastAsia="pl-PL"/>
        </w:rPr>
        <w:t>BETA ETF</w:t>
      </w:r>
      <w:r w:rsidR="007B5E1C" w:rsidRPr="00D33DF7">
        <w:rPr>
          <w:rFonts w:ascii="Verdana" w:hAnsi="Verdana" w:cs="Arial"/>
          <w:bCs/>
          <w:color w:val="000000" w:themeColor="text1"/>
          <w:sz w:val="20"/>
          <w:szCs w:val="20"/>
          <w:lang w:val="en-GB" w:eastAsia="pl-PL"/>
        </w:rPr>
        <w:t xml:space="preserve"> which </w:t>
      </w:r>
      <w:r w:rsidR="007B5E1C" w:rsidRPr="00D33DF7">
        <w:rPr>
          <w:rFonts w:ascii="Verdana" w:hAnsi="Verdana" w:cs="Arial"/>
          <w:bCs/>
          <w:color w:val="000000" w:themeColor="text1"/>
          <w:sz w:val="20"/>
          <w:szCs w:val="20"/>
          <w:lang w:val="en-GB" w:eastAsia="pl-PL"/>
        </w:rPr>
        <w:t>gives investors exposure to cryptocurrencies</w:t>
      </w:r>
      <w:r w:rsidRPr="00D33DF7">
        <w:rPr>
          <w:rFonts w:ascii="Verdana" w:hAnsi="Verdana" w:cs="Arial"/>
          <w:bCs/>
          <w:color w:val="000000" w:themeColor="text1"/>
          <w:sz w:val="20"/>
          <w:szCs w:val="20"/>
          <w:lang w:val="en-GB" w:eastAsia="pl-PL"/>
        </w:rPr>
        <w:t xml:space="preserve"> </w:t>
      </w:r>
      <w:r w:rsidR="0054165E" w:rsidRPr="00D33DF7">
        <w:rPr>
          <w:rFonts w:ascii="Verdana" w:hAnsi="Verdana" w:cs="Arial"/>
          <w:bCs/>
          <w:color w:val="000000" w:themeColor="text1"/>
          <w:sz w:val="20"/>
          <w:szCs w:val="20"/>
          <w:lang w:val="en-GB" w:eastAsia="pl-PL"/>
        </w:rPr>
        <w:t xml:space="preserve">was newly listed on GPW in September. </w:t>
      </w:r>
      <w:r w:rsidR="00FC02E5" w:rsidRPr="00D33DF7">
        <w:rPr>
          <w:rFonts w:ascii="Verdana" w:hAnsi="Verdana" w:cs="Arial"/>
          <w:bCs/>
          <w:color w:val="000000" w:themeColor="text1"/>
          <w:sz w:val="20"/>
          <w:szCs w:val="20"/>
          <w:lang w:val="en-GB" w:eastAsia="pl-PL"/>
        </w:rPr>
        <w:t>With i</w:t>
      </w:r>
      <w:r w:rsidRPr="00D33DF7">
        <w:rPr>
          <w:rFonts w:ascii="Verdana" w:hAnsi="Verdana" w:cs="Arial"/>
          <w:bCs/>
          <w:color w:val="000000" w:themeColor="text1"/>
          <w:sz w:val="20"/>
          <w:szCs w:val="20"/>
          <w:lang w:val="en-GB" w:eastAsia="pl-PL"/>
        </w:rPr>
        <w:t xml:space="preserve">ts </w:t>
      </w:r>
      <w:r w:rsidR="0054165E" w:rsidRPr="00D33DF7">
        <w:rPr>
          <w:rFonts w:ascii="Verdana" w:hAnsi="Verdana" w:cs="Arial"/>
          <w:bCs/>
          <w:color w:val="000000" w:themeColor="text1"/>
          <w:sz w:val="20"/>
          <w:szCs w:val="20"/>
          <w:lang w:val="en-GB" w:eastAsia="pl-PL"/>
        </w:rPr>
        <w:t>listing</w:t>
      </w:r>
      <w:r w:rsidR="00FC02E5" w:rsidRPr="00D33DF7">
        <w:rPr>
          <w:rFonts w:ascii="Verdana" w:hAnsi="Verdana" w:cs="Arial"/>
          <w:bCs/>
          <w:color w:val="000000" w:themeColor="text1"/>
          <w:sz w:val="20"/>
          <w:szCs w:val="20"/>
          <w:lang w:val="en-GB" w:eastAsia="pl-PL"/>
        </w:rPr>
        <w:t>,</w:t>
      </w:r>
      <w:r w:rsidRPr="00D33DF7">
        <w:rPr>
          <w:rFonts w:ascii="Verdana" w:hAnsi="Verdana" w:cs="Arial"/>
          <w:bCs/>
          <w:color w:val="000000" w:themeColor="text1"/>
          <w:sz w:val="20"/>
          <w:szCs w:val="20"/>
          <w:lang w:val="en-GB" w:eastAsia="pl-PL"/>
        </w:rPr>
        <w:t xml:space="preserve"> the Warsaw Stock Exchange </w:t>
      </w:r>
      <w:r w:rsidR="00D33DF7" w:rsidRPr="00D33DF7">
        <w:rPr>
          <w:rFonts w:ascii="Verdana" w:hAnsi="Verdana" w:cs="Arial"/>
          <w:bCs/>
          <w:color w:val="000000" w:themeColor="text1"/>
          <w:sz w:val="20"/>
          <w:szCs w:val="20"/>
          <w:lang w:val="en-GB" w:eastAsia="pl-PL"/>
        </w:rPr>
        <w:t>follows</w:t>
      </w:r>
      <w:r w:rsidRPr="00D33DF7">
        <w:rPr>
          <w:rFonts w:ascii="Verdana" w:hAnsi="Verdana" w:cs="Arial"/>
          <w:bCs/>
          <w:color w:val="000000" w:themeColor="text1"/>
          <w:sz w:val="20"/>
          <w:szCs w:val="20"/>
          <w:lang w:val="en-GB" w:eastAsia="pl-PL"/>
        </w:rPr>
        <w:t xml:space="preserve"> the global trend of introducing investment products based on digital assets, which are present on many capital markets around the world.</w:t>
      </w:r>
    </w:p>
    <w:p w14:paraId="5CC7920F" w14:textId="77777777" w:rsidR="004E4AA5" w:rsidRPr="00D33DF7" w:rsidRDefault="004E4AA5" w:rsidP="004E4AA5">
      <w:pPr>
        <w:spacing w:after="0"/>
        <w:jc w:val="both"/>
        <w:rPr>
          <w:rFonts w:ascii="Verdana" w:hAnsi="Verdana" w:cs="Arial"/>
          <w:bCs/>
          <w:color w:val="000000" w:themeColor="text1"/>
          <w:sz w:val="20"/>
          <w:szCs w:val="20"/>
          <w:lang w:val="en-GB" w:eastAsia="pl-PL"/>
        </w:rPr>
      </w:pPr>
    </w:p>
    <w:p w14:paraId="4BCB2F97" w14:textId="4CC68875"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The programme of reductions</w:t>
      </w:r>
      <w:r w:rsidR="00FC02E5" w:rsidRPr="00D33DF7">
        <w:rPr>
          <w:rFonts w:ascii="Verdana" w:hAnsi="Verdana" w:cs="Arial"/>
          <w:bCs/>
          <w:color w:val="000000" w:themeColor="text1"/>
          <w:sz w:val="20"/>
          <w:szCs w:val="20"/>
          <w:lang w:val="en-GB" w:eastAsia="pl-PL"/>
        </w:rPr>
        <w:t xml:space="preserve"> on fees for trading</w:t>
      </w:r>
      <w:r w:rsidRPr="00D33DF7">
        <w:rPr>
          <w:rFonts w:ascii="Verdana" w:hAnsi="Verdana" w:cs="Arial"/>
          <w:bCs/>
          <w:color w:val="000000" w:themeColor="text1"/>
          <w:sz w:val="20"/>
          <w:szCs w:val="20"/>
          <w:lang w:val="en-GB" w:eastAsia="pl-PL"/>
        </w:rPr>
        <w:t xml:space="preserve"> in ETF</w:t>
      </w:r>
      <w:r w:rsidR="00FC02E5" w:rsidRPr="00D33DF7">
        <w:rPr>
          <w:rFonts w:ascii="Verdana" w:hAnsi="Verdana" w:cs="Arial"/>
          <w:bCs/>
          <w:color w:val="000000" w:themeColor="text1"/>
          <w:sz w:val="20"/>
          <w:szCs w:val="20"/>
          <w:lang w:val="en-GB" w:eastAsia="pl-PL"/>
        </w:rPr>
        <w:t>s</w:t>
      </w:r>
      <w:r w:rsidRPr="00D33DF7">
        <w:rPr>
          <w:rFonts w:ascii="Verdana" w:hAnsi="Verdana" w:cs="Arial"/>
          <w:bCs/>
          <w:color w:val="000000" w:themeColor="text1"/>
          <w:sz w:val="20"/>
          <w:szCs w:val="20"/>
          <w:lang w:val="en-GB" w:eastAsia="pl-PL"/>
        </w:rPr>
        <w:t>, ETC</w:t>
      </w:r>
      <w:r w:rsidR="00FC02E5" w:rsidRPr="00D33DF7">
        <w:rPr>
          <w:rFonts w:ascii="Verdana" w:hAnsi="Verdana" w:cs="Arial"/>
          <w:bCs/>
          <w:color w:val="000000" w:themeColor="text1"/>
          <w:sz w:val="20"/>
          <w:szCs w:val="20"/>
          <w:lang w:val="en-GB" w:eastAsia="pl-PL"/>
        </w:rPr>
        <w:t>s</w:t>
      </w:r>
      <w:r w:rsidRPr="00D33DF7">
        <w:rPr>
          <w:rFonts w:ascii="Verdana" w:hAnsi="Verdana" w:cs="Arial"/>
          <w:bCs/>
          <w:color w:val="000000" w:themeColor="text1"/>
          <w:sz w:val="20"/>
          <w:szCs w:val="20"/>
          <w:lang w:val="en-GB" w:eastAsia="pl-PL"/>
        </w:rPr>
        <w:t xml:space="preserve"> and ETN</w:t>
      </w:r>
      <w:r w:rsidR="00FC02E5" w:rsidRPr="00D33DF7">
        <w:rPr>
          <w:rFonts w:ascii="Verdana" w:hAnsi="Verdana" w:cs="Arial"/>
          <w:bCs/>
          <w:color w:val="000000" w:themeColor="text1"/>
          <w:sz w:val="20"/>
          <w:szCs w:val="20"/>
          <w:lang w:val="en-GB" w:eastAsia="pl-PL"/>
        </w:rPr>
        <w:t>s</w:t>
      </w:r>
      <w:r w:rsidRPr="00D33DF7">
        <w:rPr>
          <w:rFonts w:ascii="Verdana" w:hAnsi="Verdana" w:cs="Arial"/>
          <w:bCs/>
          <w:color w:val="000000" w:themeColor="text1"/>
          <w:sz w:val="20"/>
          <w:szCs w:val="20"/>
          <w:lang w:val="en-GB" w:eastAsia="pl-PL"/>
        </w:rPr>
        <w:t xml:space="preserve"> for Exchange Members </w:t>
      </w:r>
      <w:r w:rsidR="00EB6C5A" w:rsidRPr="00D33DF7">
        <w:rPr>
          <w:rFonts w:ascii="Verdana" w:hAnsi="Verdana" w:cs="Arial"/>
          <w:bCs/>
          <w:color w:val="000000" w:themeColor="text1"/>
          <w:sz w:val="20"/>
          <w:szCs w:val="20"/>
          <w:lang w:val="en-GB" w:eastAsia="pl-PL"/>
        </w:rPr>
        <w:t>drives</w:t>
      </w:r>
      <w:r w:rsidRPr="00D33DF7">
        <w:rPr>
          <w:rFonts w:ascii="Verdana" w:hAnsi="Verdana" w:cs="Arial"/>
          <w:bCs/>
          <w:color w:val="000000" w:themeColor="text1"/>
          <w:sz w:val="20"/>
          <w:szCs w:val="20"/>
          <w:lang w:val="en-GB" w:eastAsia="pl-PL"/>
        </w:rPr>
        <w:t xml:space="preserve"> investor activity in this market.</w:t>
      </w:r>
      <w:r w:rsidR="00EB6C5A" w:rsidRPr="00D33DF7">
        <w:rPr>
          <w:rFonts w:ascii="Verdana" w:hAnsi="Verdana" w:cs="Arial"/>
          <w:bCs/>
          <w:color w:val="000000" w:themeColor="text1"/>
          <w:sz w:val="20"/>
          <w:szCs w:val="20"/>
          <w:lang w:val="en-GB" w:eastAsia="pl-PL"/>
        </w:rPr>
        <w:t xml:space="preserve"> </w:t>
      </w:r>
      <w:r w:rsidRPr="00D33DF7">
        <w:rPr>
          <w:rFonts w:ascii="Verdana" w:hAnsi="Verdana" w:cs="Arial"/>
          <w:bCs/>
          <w:color w:val="000000" w:themeColor="text1"/>
          <w:sz w:val="20"/>
          <w:szCs w:val="20"/>
          <w:lang w:val="en-GB" w:eastAsia="pl-PL"/>
        </w:rPr>
        <w:t xml:space="preserve">ETF and ETC </w:t>
      </w:r>
      <w:r w:rsidR="00FC02E5" w:rsidRPr="00D33DF7">
        <w:rPr>
          <w:rFonts w:ascii="Verdana" w:hAnsi="Verdana" w:cs="Arial"/>
          <w:bCs/>
          <w:color w:val="000000" w:themeColor="text1"/>
          <w:sz w:val="20"/>
          <w:szCs w:val="20"/>
          <w:lang w:val="en-GB" w:eastAsia="pl-PL"/>
        </w:rPr>
        <w:t>turnover</w:t>
      </w:r>
      <w:r w:rsidRPr="00D33DF7">
        <w:rPr>
          <w:rFonts w:ascii="Verdana" w:hAnsi="Verdana" w:cs="Arial"/>
          <w:bCs/>
          <w:color w:val="000000" w:themeColor="text1"/>
          <w:sz w:val="20"/>
          <w:szCs w:val="20"/>
          <w:lang w:val="en-GB" w:eastAsia="pl-PL"/>
        </w:rPr>
        <w:t xml:space="preserve"> reached a record </w:t>
      </w:r>
      <w:r w:rsidR="00FC02E5" w:rsidRPr="00D33DF7">
        <w:rPr>
          <w:rFonts w:ascii="Verdana" w:hAnsi="Verdana" w:cs="Arial"/>
          <w:bCs/>
          <w:color w:val="000000" w:themeColor="text1"/>
          <w:sz w:val="20"/>
          <w:szCs w:val="20"/>
          <w:lang w:val="en-GB" w:eastAsia="pl-PL"/>
        </w:rPr>
        <w:t>high</w:t>
      </w:r>
      <w:r w:rsidRPr="00D33DF7">
        <w:rPr>
          <w:rFonts w:ascii="Verdana" w:hAnsi="Verdana" w:cs="Arial"/>
          <w:bCs/>
          <w:color w:val="000000" w:themeColor="text1"/>
          <w:sz w:val="20"/>
          <w:szCs w:val="20"/>
          <w:lang w:val="en-GB" w:eastAsia="pl-PL"/>
        </w:rPr>
        <w:t xml:space="preserve"> of PLN 2.575 billion</w:t>
      </w:r>
      <w:r w:rsidR="00EB6C5A" w:rsidRPr="00D33DF7">
        <w:rPr>
          <w:rFonts w:ascii="Verdana" w:hAnsi="Verdana" w:cs="Arial"/>
          <w:bCs/>
          <w:color w:val="000000" w:themeColor="text1"/>
          <w:sz w:val="20"/>
          <w:szCs w:val="20"/>
          <w:lang w:val="en-GB" w:eastAsia="pl-PL"/>
        </w:rPr>
        <w:t xml:space="preserve"> </w:t>
      </w:r>
      <w:r w:rsidR="00854C8A" w:rsidRPr="00D33DF7">
        <w:rPr>
          <w:rFonts w:ascii="Verdana" w:hAnsi="Verdana" w:cs="Arial"/>
          <w:bCs/>
          <w:color w:val="000000" w:themeColor="text1"/>
          <w:sz w:val="20"/>
          <w:szCs w:val="20"/>
          <w:lang w:val="en-GB" w:eastAsia="pl-PL"/>
        </w:rPr>
        <w:t>f</w:t>
      </w:r>
      <w:r w:rsidR="00EB6C5A" w:rsidRPr="00D33DF7">
        <w:rPr>
          <w:rFonts w:ascii="Verdana" w:hAnsi="Verdana" w:cs="Arial"/>
          <w:bCs/>
          <w:color w:val="000000" w:themeColor="text1"/>
          <w:sz w:val="20"/>
          <w:szCs w:val="20"/>
          <w:lang w:val="en-GB" w:eastAsia="pl-PL"/>
        </w:rPr>
        <w:t>rom January to October</w:t>
      </w:r>
      <w:r w:rsidRPr="00D33DF7">
        <w:rPr>
          <w:rFonts w:ascii="Verdana" w:hAnsi="Verdana" w:cs="Arial"/>
          <w:bCs/>
          <w:color w:val="000000" w:themeColor="text1"/>
          <w:sz w:val="20"/>
          <w:szCs w:val="20"/>
          <w:lang w:val="en-GB" w:eastAsia="pl-PL"/>
        </w:rPr>
        <w:t xml:space="preserve">, </w:t>
      </w:r>
      <w:r w:rsidR="00FC02E5" w:rsidRPr="00D33DF7">
        <w:rPr>
          <w:rFonts w:ascii="Verdana" w:hAnsi="Verdana" w:cs="Arial"/>
          <w:bCs/>
          <w:color w:val="000000" w:themeColor="text1"/>
          <w:sz w:val="20"/>
          <w:szCs w:val="20"/>
          <w:lang w:val="en-GB" w:eastAsia="pl-PL"/>
        </w:rPr>
        <w:t xml:space="preserve">up </w:t>
      </w:r>
      <w:r w:rsidRPr="00D33DF7">
        <w:rPr>
          <w:rFonts w:ascii="Verdana" w:hAnsi="Verdana" w:cs="Arial"/>
          <w:bCs/>
          <w:color w:val="000000" w:themeColor="text1"/>
          <w:sz w:val="20"/>
          <w:szCs w:val="20"/>
          <w:lang w:val="en-GB" w:eastAsia="pl-PL"/>
        </w:rPr>
        <w:t xml:space="preserve">111.2% </w:t>
      </w:r>
      <w:r w:rsidR="00FC02E5" w:rsidRPr="00D33DF7">
        <w:rPr>
          <w:rFonts w:ascii="Verdana" w:hAnsi="Verdana" w:cs="Arial"/>
          <w:bCs/>
          <w:color w:val="000000" w:themeColor="text1"/>
          <w:sz w:val="20"/>
          <w:szCs w:val="20"/>
          <w:lang w:val="en-GB" w:eastAsia="pl-PL"/>
        </w:rPr>
        <w:t>year on</w:t>
      </w:r>
      <w:r w:rsidRPr="00D33DF7">
        <w:rPr>
          <w:rFonts w:ascii="Verdana" w:hAnsi="Verdana" w:cs="Arial"/>
          <w:bCs/>
          <w:color w:val="000000" w:themeColor="text1"/>
          <w:sz w:val="20"/>
          <w:szCs w:val="20"/>
          <w:lang w:val="en-GB" w:eastAsia="pl-PL"/>
        </w:rPr>
        <w:t xml:space="preserve"> year.</w:t>
      </w:r>
    </w:p>
    <w:p w14:paraId="20E18AAC" w14:textId="79D8D534" w:rsidR="0047685B" w:rsidRPr="00D33DF7" w:rsidRDefault="0047685B" w:rsidP="0047685B">
      <w:pPr>
        <w:spacing w:after="0"/>
        <w:jc w:val="both"/>
        <w:rPr>
          <w:rFonts w:ascii="Verdana" w:hAnsi="Verdana" w:cs="Arial"/>
          <w:bCs/>
          <w:color w:val="000000" w:themeColor="text1"/>
          <w:sz w:val="20"/>
          <w:szCs w:val="20"/>
          <w:lang w:val="en-GB" w:eastAsia="pl-PL"/>
        </w:rPr>
      </w:pPr>
    </w:p>
    <w:p w14:paraId="4C799A5F" w14:textId="178D13BD" w:rsidR="000A5166" w:rsidRPr="00D33DF7" w:rsidRDefault="00FC02E5"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lastRenderedPageBreak/>
        <w:t>S</w:t>
      </w:r>
      <w:r w:rsidR="000A5166" w:rsidRPr="00D33DF7">
        <w:rPr>
          <w:rFonts w:ascii="Verdana" w:hAnsi="Verdana" w:cs="Arial"/>
          <w:bCs/>
          <w:color w:val="000000" w:themeColor="text1"/>
          <w:sz w:val="20"/>
          <w:szCs w:val="20"/>
          <w:lang w:val="en-GB" w:eastAsia="pl-PL"/>
        </w:rPr>
        <w:t xml:space="preserve">hares of global brands from the US and Germany </w:t>
      </w:r>
      <w:r w:rsidRPr="00D33DF7">
        <w:rPr>
          <w:rFonts w:ascii="Verdana" w:hAnsi="Verdana" w:cs="Arial"/>
          <w:bCs/>
          <w:color w:val="000000" w:themeColor="text1"/>
          <w:sz w:val="20"/>
          <w:szCs w:val="20"/>
          <w:lang w:val="en-GB" w:eastAsia="pl-PL"/>
        </w:rPr>
        <w:t>were newly listed</w:t>
      </w:r>
      <w:r w:rsidR="000A5166" w:rsidRPr="00D33DF7">
        <w:rPr>
          <w:rFonts w:ascii="Verdana" w:hAnsi="Verdana" w:cs="Arial"/>
          <w:bCs/>
          <w:color w:val="000000" w:themeColor="text1"/>
          <w:sz w:val="20"/>
          <w:szCs w:val="20"/>
          <w:lang w:val="en-GB" w:eastAsia="pl-PL"/>
        </w:rPr>
        <w:t xml:space="preserve"> on GlobalConnect </w:t>
      </w:r>
      <w:r w:rsidRPr="00D33DF7">
        <w:rPr>
          <w:rFonts w:ascii="Verdana" w:hAnsi="Verdana" w:cs="Arial"/>
          <w:bCs/>
          <w:color w:val="000000" w:themeColor="text1"/>
          <w:sz w:val="20"/>
          <w:szCs w:val="20"/>
          <w:lang w:val="en-GB" w:eastAsia="pl-PL"/>
        </w:rPr>
        <w:t>in Q3 2025, including</w:t>
      </w:r>
      <w:r w:rsidR="000A5166" w:rsidRPr="00D33DF7">
        <w:rPr>
          <w:rFonts w:ascii="Verdana" w:hAnsi="Verdana" w:cs="Arial"/>
          <w:bCs/>
          <w:color w:val="000000" w:themeColor="text1"/>
          <w:sz w:val="20"/>
          <w:szCs w:val="20"/>
          <w:lang w:val="en-GB" w:eastAsia="pl-PL"/>
        </w:rPr>
        <w:t xml:space="preserve"> Berkshire Hathaway, The Boeing Company, The Procter &amp; Gamble Company, Palantir Technologies, Robinhood Markets, Take-Two Interactive Software, Uber Technologies, and Rheinmetall. All new </w:t>
      </w:r>
      <w:r w:rsidRPr="00D33DF7">
        <w:rPr>
          <w:rFonts w:ascii="Verdana" w:hAnsi="Verdana" w:cs="Arial"/>
          <w:bCs/>
          <w:color w:val="000000" w:themeColor="text1"/>
          <w:sz w:val="20"/>
          <w:szCs w:val="20"/>
          <w:lang w:val="en-GB" w:eastAsia="pl-PL"/>
        </w:rPr>
        <w:t>stocks</w:t>
      </w:r>
      <w:r w:rsidR="000A5166" w:rsidRPr="00D33DF7">
        <w:rPr>
          <w:rFonts w:ascii="Verdana" w:hAnsi="Verdana" w:cs="Arial"/>
          <w:bCs/>
          <w:color w:val="000000" w:themeColor="text1"/>
          <w:sz w:val="20"/>
          <w:szCs w:val="20"/>
          <w:lang w:val="en-GB" w:eastAsia="pl-PL"/>
        </w:rPr>
        <w:t xml:space="preserve"> are listed in </w:t>
      </w:r>
      <w:r w:rsidRPr="00D33DF7">
        <w:rPr>
          <w:rFonts w:ascii="Verdana" w:hAnsi="Verdana" w:cs="Arial"/>
          <w:bCs/>
          <w:color w:val="000000" w:themeColor="text1"/>
          <w:sz w:val="20"/>
          <w:szCs w:val="20"/>
          <w:lang w:val="en-GB" w:eastAsia="pl-PL"/>
        </w:rPr>
        <w:t>PLN</w:t>
      </w:r>
      <w:r w:rsidR="000A5166" w:rsidRPr="00D33DF7">
        <w:rPr>
          <w:rFonts w:ascii="Verdana" w:hAnsi="Verdana" w:cs="Arial"/>
          <w:bCs/>
          <w:color w:val="000000" w:themeColor="text1"/>
          <w:sz w:val="20"/>
          <w:szCs w:val="20"/>
          <w:lang w:val="en-GB" w:eastAsia="pl-PL"/>
        </w:rPr>
        <w:t>.</w:t>
      </w:r>
    </w:p>
    <w:p w14:paraId="7BBC5422" w14:textId="77777777" w:rsidR="0047685B" w:rsidRPr="00D33DF7" w:rsidRDefault="0047685B" w:rsidP="0047685B">
      <w:pPr>
        <w:spacing w:after="0"/>
        <w:jc w:val="both"/>
        <w:rPr>
          <w:rFonts w:ascii="Verdana" w:hAnsi="Verdana" w:cs="Arial"/>
          <w:bCs/>
          <w:color w:val="000000" w:themeColor="text1"/>
          <w:sz w:val="20"/>
          <w:szCs w:val="20"/>
          <w:lang w:val="en-GB" w:eastAsia="pl-PL"/>
        </w:rPr>
      </w:pPr>
    </w:p>
    <w:p w14:paraId="69846607" w14:textId="72F77697" w:rsidR="000A5166" w:rsidRPr="00D33DF7" w:rsidRDefault="00FC02E5"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High activity of new issuers continued on</w:t>
      </w:r>
      <w:r w:rsidR="000A5166" w:rsidRPr="00D33DF7">
        <w:rPr>
          <w:rFonts w:ascii="Verdana" w:hAnsi="Verdana" w:cs="Arial"/>
          <w:bCs/>
          <w:color w:val="000000" w:themeColor="text1"/>
          <w:sz w:val="20"/>
          <w:szCs w:val="20"/>
          <w:lang w:val="en-GB" w:eastAsia="pl-PL"/>
        </w:rPr>
        <w:t xml:space="preserve"> Catalyst. </w:t>
      </w:r>
      <w:r w:rsidRPr="00D33DF7">
        <w:rPr>
          <w:rFonts w:ascii="Verdana" w:hAnsi="Verdana" w:cs="Arial"/>
          <w:bCs/>
          <w:color w:val="000000" w:themeColor="text1"/>
          <w:sz w:val="20"/>
          <w:szCs w:val="20"/>
          <w:lang w:val="en-GB" w:eastAsia="pl-PL"/>
        </w:rPr>
        <w:t xml:space="preserve">The </w:t>
      </w:r>
      <w:r w:rsidR="000A5166" w:rsidRPr="00D33DF7">
        <w:rPr>
          <w:rFonts w:ascii="Verdana" w:hAnsi="Verdana" w:cs="Arial"/>
          <w:bCs/>
          <w:color w:val="000000" w:themeColor="text1"/>
          <w:sz w:val="20"/>
          <w:szCs w:val="20"/>
          <w:lang w:val="en-GB" w:eastAsia="pl-PL"/>
        </w:rPr>
        <w:t xml:space="preserve">Żabka Group </w:t>
      </w:r>
      <w:r w:rsidRPr="00D33DF7">
        <w:rPr>
          <w:rFonts w:ascii="Verdana" w:hAnsi="Verdana" w:cs="Arial"/>
          <w:bCs/>
          <w:color w:val="000000" w:themeColor="text1"/>
          <w:sz w:val="20"/>
          <w:szCs w:val="20"/>
          <w:lang w:val="en-GB" w:eastAsia="pl-PL"/>
        </w:rPr>
        <w:t>was newly listed on Catalyst in July</w:t>
      </w:r>
      <w:r w:rsidR="000A5166" w:rsidRPr="00D33DF7">
        <w:rPr>
          <w:rFonts w:ascii="Verdana" w:hAnsi="Verdana" w:cs="Arial"/>
          <w:bCs/>
          <w:color w:val="000000" w:themeColor="text1"/>
          <w:sz w:val="20"/>
          <w:szCs w:val="20"/>
          <w:lang w:val="en-GB" w:eastAsia="pl-PL"/>
        </w:rPr>
        <w:t xml:space="preserve"> with its first bond issue worth PLN 1 billion, </w:t>
      </w:r>
      <w:r w:rsidR="00D32CB1" w:rsidRPr="00D33DF7">
        <w:rPr>
          <w:rFonts w:ascii="Verdana" w:hAnsi="Verdana" w:cs="Arial"/>
          <w:bCs/>
          <w:color w:val="000000" w:themeColor="text1"/>
          <w:sz w:val="20"/>
          <w:szCs w:val="20"/>
          <w:lang w:val="en-GB" w:eastAsia="pl-PL"/>
        </w:rPr>
        <w:t>traded</w:t>
      </w:r>
      <w:r w:rsidR="000A5166" w:rsidRPr="00D33DF7">
        <w:rPr>
          <w:rFonts w:ascii="Verdana" w:hAnsi="Verdana" w:cs="Arial"/>
          <w:bCs/>
          <w:color w:val="000000" w:themeColor="text1"/>
          <w:sz w:val="20"/>
          <w:szCs w:val="20"/>
          <w:lang w:val="en-GB" w:eastAsia="pl-PL"/>
        </w:rPr>
        <w:t xml:space="preserve"> in the Warsaw Sustainable Segment.</w:t>
      </w:r>
      <w:r w:rsidRPr="00D33DF7">
        <w:rPr>
          <w:rFonts w:ascii="Verdana" w:hAnsi="Verdana" w:cs="Arial"/>
          <w:bCs/>
          <w:color w:val="000000" w:themeColor="text1"/>
          <w:sz w:val="20"/>
          <w:szCs w:val="20"/>
          <w:lang w:val="en-GB" w:eastAsia="pl-PL"/>
        </w:rPr>
        <w:t xml:space="preserve"> T</w:t>
      </w:r>
      <w:r w:rsidR="000A5166" w:rsidRPr="00D33DF7">
        <w:rPr>
          <w:rFonts w:ascii="Verdana" w:hAnsi="Verdana" w:cs="Arial"/>
          <w:bCs/>
          <w:color w:val="000000" w:themeColor="text1"/>
          <w:sz w:val="20"/>
          <w:szCs w:val="20"/>
          <w:lang w:val="en-GB" w:eastAsia="pl-PL"/>
        </w:rPr>
        <w:t xml:space="preserve">he Allegro Group </w:t>
      </w:r>
      <w:r w:rsidRPr="00D33DF7">
        <w:rPr>
          <w:rFonts w:ascii="Verdana" w:hAnsi="Verdana" w:cs="Arial"/>
          <w:bCs/>
          <w:color w:val="000000" w:themeColor="text1"/>
          <w:sz w:val="20"/>
          <w:szCs w:val="20"/>
          <w:lang w:val="en-GB" w:eastAsia="pl-PL"/>
        </w:rPr>
        <w:t>floated</w:t>
      </w:r>
      <w:r w:rsidR="000A5166" w:rsidRPr="00D33DF7">
        <w:rPr>
          <w:rFonts w:ascii="Verdana" w:hAnsi="Verdana" w:cs="Arial"/>
          <w:bCs/>
          <w:color w:val="000000" w:themeColor="text1"/>
          <w:sz w:val="20"/>
          <w:szCs w:val="20"/>
          <w:lang w:val="en-GB" w:eastAsia="pl-PL"/>
        </w:rPr>
        <w:t xml:space="preserve"> another PLN 1 billion </w:t>
      </w:r>
      <w:r w:rsidRPr="00D33DF7">
        <w:rPr>
          <w:rFonts w:ascii="Verdana" w:hAnsi="Verdana" w:cs="Arial"/>
          <w:bCs/>
          <w:color w:val="000000" w:themeColor="text1"/>
          <w:sz w:val="20"/>
          <w:szCs w:val="20"/>
          <w:lang w:val="en-GB" w:eastAsia="pl-PL"/>
        </w:rPr>
        <w:t>of</w:t>
      </w:r>
      <w:r w:rsidR="000A5166" w:rsidRPr="00D33DF7">
        <w:rPr>
          <w:rFonts w:ascii="Verdana" w:hAnsi="Verdana" w:cs="Arial"/>
          <w:bCs/>
          <w:color w:val="000000" w:themeColor="text1"/>
          <w:sz w:val="20"/>
          <w:szCs w:val="20"/>
          <w:lang w:val="en-GB" w:eastAsia="pl-PL"/>
        </w:rPr>
        <w:t xml:space="preserve"> bonds</w:t>
      </w:r>
      <w:r w:rsidRPr="00D33DF7">
        <w:rPr>
          <w:rFonts w:ascii="Verdana" w:hAnsi="Verdana" w:cs="Arial"/>
          <w:bCs/>
          <w:color w:val="000000" w:themeColor="text1"/>
          <w:sz w:val="20"/>
          <w:szCs w:val="20"/>
          <w:lang w:val="en-GB" w:eastAsia="pl-PL"/>
        </w:rPr>
        <w:t xml:space="preserve"> in September</w:t>
      </w:r>
      <w:r w:rsidR="000A5166" w:rsidRPr="00D33DF7">
        <w:rPr>
          <w:rFonts w:ascii="Verdana" w:hAnsi="Verdana" w:cs="Arial"/>
          <w:bCs/>
          <w:color w:val="000000" w:themeColor="text1"/>
          <w:sz w:val="20"/>
          <w:szCs w:val="20"/>
          <w:lang w:val="en-GB" w:eastAsia="pl-PL"/>
        </w:rPr>
        <w:t xml:space="preserve">. Municipal bonds </w:t>
      </w:r>
      <w:r w:rsidRPr="00D33DF7">
        <w:rPr>
          <w:rFonts w:ascii="Verdana" w:hAnsi="Verdana" w:cs="Arial"/>
          <w:bCs/>
          <w:color w:val="000000" w:themeColor="text1"/>
          <w:sz w:val="20"/>
          <w:szCs w:val="20"/>
          <w:lang w:val="en-GB" w:eastAsia="pl-PL"/>
        </w:rPr>
        <w:t>of the City of</w:t>
      </w:r>
      <w:r w:rsidR="000A5166" w:rsidRPr="00D33DF7">
        <w:rPr>
          <w:rFonts w:ascii="Verdana" w:hAnsi="Verdana" w:cs="Arial"/>
          <w:bCs/>
          <w:color w:val="000000" w:themeColor="text1"/>
          <w:sz w:val="20"/>
          <w:szCs w:val="20"/>
          <w:lang w:val="en-GB" w:eastAsia="pl-PL"/>
        </w:rPr>
        <w:t xml:space="preserve"> Skierniewice and </w:t>
      </w:r>
      <w:r w:rsidRPr="00D33DF7">
        <w:rPr>
          <w:rFonts w:ascii="Verdana" w:hAnsi="Verdana" w:cs="Arial"/>
          <w:bCs/>
          <w:color w:val="000000" w:themeColor="text1"/>
          <w:sz w:val="20"/>
          <w:szCs w:val="20"/>
          <w:lang w:val="en-GB" w:eastAsia="pl-PL"/>
        </w:rPr>
        <w:t xml:space="preserve">the City of </w:t>
      </w:r>
      <w:r w:rsidR="000A5166" w:rsidRPr="00D33DF7">
        <w:rPr>
          <w:rFonts w:ascii="Verdana" w:hAnsi="Verdana" w:cs="Arial"/>
          <w:bCs/>
          <w:color w:val="000000" w:themeColor="text1"/>
          <w:sz w:val="20"/>
          <w:szCs w:val="20"/>
          <w:lang w:val="en-GB" w:eastAsia="pl-PL"/>
        </w:rPr>
        <w:t xml:space="preserve">Świętochłowice </w:t>
      </w:r>
      <w:r w:rsidRPr="00D33DF7">
        <w:rPr>
          <w:rFonts w:ascii="Verdana" w:hAnsi="Verdana" w:cs="Arial"/>
          <w:bCs/>
          <w:color w:val="000000" w:themeColor="text1"/>
          <w:sz w:val="20"/>
          <w:szCs w:val="20"/>
          <w:lang w:val="en-GB" w:eastAsia="pl-PL"/>
        </w:rPr>
        <w:t>were introduced to trading</w:t>
      </w:r>
      <w:r w:rsidR="000A5166" w:rsidRPr="00D33DF7">
        <w:rPr>
          <w:rFonts w:ascii="Verdana" w:hAnsi="Verdana" w:cs="Arial"/>
          <w:bCs/>
          <w:color w:val="000000" w:themeColor="text1"/>
          <w:sz w:val="20"/>
          <w:szCs w:val="20"/>
          <w:lang w:val="en-GB" w:eastAsia="pl-PL"/>
        </w:rPr>
        <w:t xml:space="preserve"> on Catalyst.</w:t>
      </w:r>
    </w:p>
    <w:p w14:paraId="13DE83B8" w14:textId="77777777" w:rsidR="00EA0627" w:rsidRPr="00D33DF7" w:rsidRDefault="00EA0627" w:rsidP="00167B9D">
      <w:pPr>
        <w:spacing w:after="0"/>
        <w:jc w:val="both"/>
        <w:rPr>
          <w:rFonts w:ascii="Verdana" w:hAnsi="Verdana" w:cs="Arial"/>
          <w:bCs/>
          <w:color w:val="000000" w:themeColor="text1"/>
          <w:sz w:val="20"/>
          <w:szCs w:val="20"/>
          <w:lang w:val="en-GB" w:eastAsia="pl-PL"/>
        </w:rPr>
      </w:pPr>
    </w:p>
    <w:p w14:paraId="31E366BA" w14:textId="22AF569C"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PKO Bank Hipoteczny</w:t>
      </w:r>
      <w:r w:rsidR="00FC02E5" w:rsidRPr="00D33DF7">
        <w:rPr>
          <w:rFonts w:ascii="Verdana" w:hAnsi="Verdana" w:cs="Arial"/>
          <w:bCs/>
          <w:color w:val="000000" w:themeColor="text1"/>
          <w:sz w:val="20"/>
          <w:szCs w:val="20"/>
          <w:lang w:val="en-GB" w:eastAsia="pl-PL"/>
        </w:rPr>
        <w:t>’</w:t>
      </w:r>
      <w:r w:rsidRPr="00D33DF7">
        <w:rPr>
          <w:rFonts w:ascii="Verdana" w:hAnsi="Verdana" w:cs="Arial"/>
          <w:bCs/>
          <w:color w:val="000000" w:themeColor="text1"/>
          <w:sz w:val="20"/>
          <w:szCs w:val="20"/>
          <w:lang w:val="en-GB" w:eastAsia="pl-PL"/>
        </w:rPr>
        <w:t xml:space="preserve">s </w:t>
      </w:r>
      <w:r w:rsidR="00FC02E5" w:rsidRPr="00D33DF7">
        <w:rPr>
          <w:rFonts w:ascii="Verdana" w:hAnsi="Verdana" w:cs="Arial"/>
          <w:bCs/>
          <w:color w:val="000000" w:themeColor="text1"/>
          <w:sz w:val="20"/>
          <w:szCs w:val="20"/>
          <w:lang w:val="en-GB" w:eastAsia="pl-PL"/>
        </w:rPr>
        <w:t>covered</w:t>
      </w:r>
      <w:r w:rsidRPr="00D33DF7">
        <w:rPr>
          <w:rFonts w:ascii="Verdana" w:hAnsi="Verdana" w:cs="Arial"/>
          <w:bCs/>
          <w:color w:val="000000" w:themeColor="text1"/>
          <w:sz w:val="20"/>
          <w:szCs w:val="20"/>
          <w:lang w:val="en-GB" w:eastAsia="pl-PL"/>
        </w:rPr>
        <w:t xml:space="preserve"> bonds with a total value of PLN 1.155 billion </w:t>
      </w:r>
      <w:r w:rsidR="00FC02E5" w:rsidRPr="00D33DF7">
        <w:rPr>
          <w:rFonts w:ascii="Verdana" w:hAnsi="Verdana" w:cs="Arial"/>
          <w:bCs/>
          <w:color w:val="000000" w:themeColor="text1"/>
          <w:sz w:val="20"/>
          <w:szCs w:val="20"/>
          <w:lang w:val="en-GB" w:eastAsia="pl-PL"/>
        </w:rPr>
        <w:t>were newly listed</w:t>
      </w:r>
      <w:r w:rsidRPr="00D33DF7">
        <w:rPr>
          <w:rFonts w:ascii="Verdana" w:hAnsi="Verdana" w:cs="Arial"/>
          <w:bCs/>
          <w:color w:val="000000" w:themeColor="text1"/>
          <w:sz w:val="20"/>
          <w:szCs w:val="20"/>
          <w:lang w:val="en-GB" w:eastAsia="pl-PL"/>
        </w:rPr>
        <w:t xml:space="preserve"> on Catalyst </w:t>
      </w:r>
      <w:r w:rsidR="00FC02E5" w:rsidRPr="00D33DF7">
        <w:rPr>
          <w:rFonts w:ascii="Verdana" w:hAnsi="Verdana" w:cs="Arial"/>
          <w:bCs/>
          <w:color w:val="000000" w:themeColor="text1"/>
          <w:sz w:val="20"/>
          <w:szCs w:val="20"/>
          <w:lang w:val="en-GB" w:eastAsia="pl-PL"/>
        </w:rPr>
        <w:t>in October</w:t>
      </w:r>
      <w:r w:rsidRPr="00D33DF7">
        <w:rPr>
          <w:rFonts w:ascii="Verdana" w:hAnsi="Verdana" w:cs="Arial"/>
          <w:bCs/>
          <w:color w:val="000000" w:themeColor="text1"/>
          <w:sz w:val="20"/>
          <w:szCs w:val="20"/>
          <w:lang w:val="en-GB" w:eastAsia="pl-PL"/>
        </w:rPr>
        <w:t xml:space="preserve">. It was a historic </w:t>
      </w:r>
      <w:r w:rsidR="00FC02E5" w:rsidRPr="00D33DF7">
        <w:rPr>
          <w:rFonts w:ascii="Verdana" w:hAnsi="Verdana" w:cs="Arial"/>
          <w:bCs/>
          <w:color w:val="000000" w:themeColor="text1"/>
          <w:sz w:val="20"/>
          <w:szCs w:val="20"/>
          <w:lang w:val="en-GB" w:eastAsia="pl-PL"/>
        </w:rPr>
        <w:t>landmark:</w:t>
      </w:r>
      <w:r w:rsidRPr="00D33DF7">
        <w:rPr>
          <w:rFonts w:ascii="Verdana" w:hAnsi="Verdana" w:cs="Arial"/>
          <w:bCs/>
          <w:color w:val="000000" w:themeColor="text1"/>
          <w:sz w:val="20"/>
          <w:szCs w:val="20"/>
          <w:lang w:val="en-GB" w:eastAsia="pl-PL"/>
        </w:rPr>
        <w:t xml:space="preserve"> individual investors can </w:t>
      </w:r>
      <w:r w:rsidR="00D32CB1" w:rsidRPr="00D33DF7">
        <w:rPr>
          <w:rFonts w:ascii="Verdana" w:hAnsi="Verdana" w:cs="Arial"/>
          <w:bCs/>
          <w:color w:val="000000" w:themeColor="text1"/>
          <w:sz w:val="20"/>
          <w:szCs w:val="20"/>
          <w:lang w:val="en-GB" w:eastAsia="pl-PL"/>
        </w:rPr>
        <w:t>buy</w:t>
      </w:r>
      <w:r w:rsidRPr="00D33DF7">
        <w:rPr>
          <w:rFonts w:ascii="Verdana" w:hAnsi="Verdana" w:cs="Arial"/>
          <w:bCs/>
          <w:color w:val="000000" w:themeColor="text1"/>
          <w:sz w:val="20"/>
          <w:szCs w:val="20"/>
          <w:lang w:val="en-GB" w:eastAsia="pl-PL"/>
        </w:rPr>
        <w:t xml:space="preserve"> retail </w:t>
      </w:r>
      <w:r w:rsidR="00FC02E5" w:rsidRPr="00D33DF7">
        <w:rPr>
          <w:rFonts w:ascii="Verdana" w:hAnsi="Verdana" w:cs="Arial"/>
          <w:bCs/>
          <w:color w:val="000000" w:themeColor="text1"/>
          <w:sz w:val="20"/>
          <w:szCs w:val="20"/>
          <w:lang w:val="en-GB" w:eastAsia="pl-PL"/>
        </w:rPr>
        <w:t>covered</w:t>
      </w:r>
      <w:r w:rsidRPr="00D33DF7">
        <w:rPr>
          <w:rFonts w:ascii="Verdana" w:hAnsi="Verdana" w:cs="Arial"/>
          <w:bCs/>
          <w:color w:val="000000" w:themeColor="text1"/>
          <w:sz w:val="20"/>
          <w:szCs w:val="20"/>
          <w:lang w:val="en-GB" w:eastAsia="pl-PL"/>
        </w:rPr>
        <w:t xml:space="preserve"> bonds on the Warsaw Stock Exchange</w:t>
      </w:r>
      <w:r w:rsidR="00D32CB1" w:rsidRPr="00D33DF7">
        <w:rPr>
          <w:rFonts w:ascii="Verdana" w:hAnsi="Verdana" w:cs="Arial"/>
          <w:bCs/>
          <w:color w:val="000000" w:themeColor="text1"/>
          <w:sz w:val="20"/>
          <w:szCs w:val="20"/>
          <w:lang w:val="en-GB" w:eastAsia="pl-PL"/>
        </w:rPr>
        <w:t xml:space="preserve"> </w:t>
      </w:r>
      <w:r w:rsidR="00D32CB1" w:rsidRPr="00D33DF7">
        <w:rPr>
          <w:rFonts w:ascii="Verdana" w:hAnsi="Verdana" w:cs="Arial"/>
          <w:bCs/>
          <w:color w:val="000000" w:themeColor="text1"/>
          <w:sz w:val="20"/>
          <w:szCs w:val="20"/>
          <w:lang w:val="en-GB" w:eastAsia="pl-PL"/>
        </w:rPr>
        <w:t>for the first time in nearly a century</w:t>
      </w:r>
      <w:r w:rsidRPr="00D33DF7">
        <w:rPr>
          <w:rFonts w:ascii="Verdana" w:hAnsi="Verdana" w:cs="Arial"/>
          <w:bCs/>
          <w:color w:val="000000" w:themeColor="text1"/>
          <w:sz w:val="20"/>
          <w:szCs w:val="20"/>
          <w:lang w:val="en-GB" w:eastAsia="pl-PL"/>
        </w:rPr>
        <w:t>.</w:t>
      </w:r>
    </w:p>
    <w:p w14:paraId="443B734F" w14:textId="77777777" w:rsidR="00171FA9" w:rsidRPr="00D33DF7" w:rsidRDefault="00171FA9" w:rsidP="00167B9D">
      <w:pPr>
        <w:spacing w:after="0"/>
        <w:jc w:val="both"/>
        <w:rPr>
          <w:rFonts w:ascii="Verdana" w:hAnsi="Verdana" w:cs="Arial"/>
          <w:bCs/>
          <w:color w:val="000000" w:themeColor="text1"/>
          <w:sz w:val="20"/>
          <w:szCs w:val="20"/>
          <w:lang w:val="en-GB" w:eastAsia="pl-PL"/>
        </w:rPr>
      </w:pPr>
    </w:p>
    <w:p w14:paraId="616029D0" w14:textId="1BCFAD7C" w:rsidR="00FC02E5" w:rsidRPr="00D33DF7" w:rsidRDefault="00FC02E5" w:rsidP="00FC02E5">
      <w:pPr>
        <w:spacing w:after="0"/>
        <w:jc w:val="both"/>
        <w:rPr>
          <w:rFonts w:ascii="Verdana" w:hAnsi="Verdana" w:cs="Arial"/>
          <w:b/>
          <w:color w:val="5B9BD5" w:themeColor="accent1"/>
          <w:sz w:val="20"/>
          <w:szCs w:val="20"/>
          <w:lang w:val="en-GB" w:eastAsia="pl-PL"/>
        </w:rPr>
      </w:pPr>
      <w:r w:rsidRPr="00D33DF7">
        <w:rPr>
          <w:rFonts w:ascii="Verdana" w:hAnsi="Verdana" w:cs="Arial"/>
          <w:b/>
          <w:color w:val="5B9BD5" w:themeColor="accent1"/>
          <w:sz w:val="20"/>
          <w:szCs w:val="20"/>
          <w:lang w:val="en-GB" w:eastAsia="pl-PL"/>
        </w:rPr>
        <w:t>Implementation of Strategic Development Directions</w:t>
      </w:r>
    </w:p>
    <w:p w14:paraId="7C31FB5C" w14:textId="77777777" w:rsidR="0047685B" w:rsidRPr="00D33DF7" w:rsidRDefault="0047685B" w:rsidP="0047685B">
      <w:pPr>
        <w:spacing w:after="0"/>
        <w:jc w:val="both"/>
        <w:rPr>
          <w:rFonts w:ascii="Verdana" w:hAnsi="Verdana" w:cs="Arial"/>
          <w:bCs/>
          <w:color w:val="000000" w:themeColor="text1"/>
          <w:sz w:val="20"/>
          <w:szCs w:val="20"/>
          <w:lang w:val="en-GB" w:eastAsia="pl-PL"/>
        </w:rPr>
      </w:pPr>
    </w:p>
    <w:p w14:paraId="63E0D0BC" w14:textId="4D94AE7C"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 xml:space="preserve">A year ago, on 27 November 2025, </w:t>
      </w:r>
      <w:r w:rsidR="00FC02E5" w:rsidRPr="00D33DF7">
        <w:rPr>
          <w:rFonts w:ascii="Verdana" w:hAnsi="Verdana" w:cs="Arial"/>
          <w:bCs/>
          <w:color w:val="000000" w:themeColor="text1"/>
          <w:sz w:val="20"/>
          <w:szCs w:val="20"/>
          <w:lang w:val="en-GB" w:eastAsia="pl-PL"/>
        </w:rPr>
        <w:t>GPW</w:t>
      </w:r>
      <w:r w:rsidRPr="00D33DF7">
        <w:rPr>
          <w:rFonts w:ascii="Verdana" w:hAnsi="Verdana" w:cs="Arial"/>
          <w:bCs/>
          <w:color w:val="000000" w:themeColor="text1"/>
          <w:sz w:val="20"/>
          <w:szCs w:val="20"/>
          <w:lang w:val="en-GB" w:eastAsia="pl-PL"/>
        </w:rPr>
        <w:t xml:space="preserve"> presented its Strategic Directions 2025-2027</w:t>
      </w:r>
      <w:r w:rsidR="00FC02E5" w:rsidRPr="00D33DF7">
        <w:rPr>
          <w:rFonts w:ascii="Verdana" w:hAnsi="Verdana" w:cs="Arial"/>
          <w:bCs/>
          <w:color w:val="000000" w:themeColor="text1"/>
          <w:sz w:val="20"/>
          <w:szCs w:val="20"/>
          <w:lang w:val="en-GB" w:eastAsia="pl-PL"/>
        </w:rPr>
        <w:t xml:space="preserve"> with</w:t>
      </w:r>
      <w:r w:rsidRPr="00D33DF7">
        <w:rPr>
          <w:rFonts w:ascii="Verdana" w:hAnsi="Verdana" w:cs="Arial"/>
          <w:bCs/>
          <w:color w:val="000000" w:themeColor="text1"/>
          <w:sz w:val="20"/>
          <w:szCs w:val="20"/>
          <w:lang w:val="en-GB" w:eastAsia="pl-PL"/>
        </w:rPr>
        <w:t xml:space="preserve"> two </w:t>
      </w:r>
      <w:r w:rsidR="00D32CB1" w:rsidRPr="00D33DF7">
        <w:rPr>
          <w:rFonts w:ascii="Verdana" w:hAnsi="Verdana" w:cs="Arial"/>
          <w:bCs/>
          <w:color w:val="000000" w:themeColor="text1"/>
          <w:sz w:val="20"/>
          <w:szCs w:val="20"/>
          <w:lang w:val="en-GB" w:eastAsia="pl-PL"/>
        </w:rPr>
        <w:t xml:space="preserve">mutually </w:t>
      </w:r>
      <w:r w:rsidRPr="00D33DF7">
        <w:rPr>
          <w:rFonts w:ascii="Verdana" w:hAnsi="Verdana" w:cs="Arial"/>
          <w:bCs/>
          <w:color w:val="000000" w:themeColor="text1"/>
          <w:sz w:val="20"/>
          <w:szCs w:val="20"/>
          <w:lang w:val="en-GB" w:eastAsia="pl-PL"/>
        </w:rPr>
        <w:t>complementary priorities</w:t>
      </w:r>
      <w:r w:rsidR="00FC02E5" w:rsidRPr="00D33DF7">
        <w:rPr>
          <w:rFonts w:ascii="Verdana" w:hAnsi="Verdana" w:cs="Arial"/>
          <w:bCs/>
          <w:color w:val="000000" w:themeColor="text1"/>
          <w:sz w:val="20"/>
          <w:szCs w:val="20"/>
          <w:lang w:val="en-GB" w:eastAsia="pl-PL"/>
        </w:rPr>
        <w:t>:</w:t>
      </w:r>
      <w:r w:rsidRPr="00D33DF7">
        <w:rPr>
          <w:rFonts w:ascii="Verdana" w:hAnsi="Verdana" w:cs="Arial"/>
          <w:bCs/>
          <w:color w:val="000000" w:themeColor="text1"/>
          <w:sz w:val="20"/>
          <w:szCs w:val="20"/>
          <w:lang w:val="en-GB" w:eastAsia="pl-PL"/>
        </w:rPr>
        <w:t xml:space="preserve"> capital market development and value creation for shareholders and stakeholders</w:t>
      </w:r>
      <w:r w:rsidR="00FC02E5" w:rsidRPr="00D33DF7">
        <w:rPr>
          <w:rFonts w:ascii="Verdana" w:hAnsi="Verdana" w:cs="Arial"/>
          <w:bCs/>
          <w:color w:val="000000" w:themeColor="text1"/>
          <w:sz w:val="20"/>
          <w:szCs w:val="20"/>
          <w:lang w:val="en-GB" w:eastAsia="pl-PL"/>
        </w:rPr>
        <w:t>,</w:t>
      </w:r>
      <w:r w:rsidRPr="00D33DF7">
        <w:rPr>
          <w:rFonts w:ascii="Verdana" w:hAnsi="Verdana" w:cs="Arial"/>
          <w:bCs/>
          <w:color w:val="000000" w:themeColor="text1"/>
          <w:sz w:val="20"/>
          <w:szCs w:val="20"/>
          <w:lang w:val="en-GB" w:eastAsia="pl-PL"/>
        </w:rPr>
        <w:t xml:space="preserve"> supported by </w:t>
      </w:r>
      <w:r w:rsidR="00BA51EA" w:rsidRPr="00D33DF7">
        <w:rPr>
          <w:rFonts w:ascii="Verdana" w:hAnsi="Verdana" w:cs="Arial"/>
          <w:bCs/>
          <w:color w:val="000000" w:themeColor="text1"/>
          <w:sz w:val="20"/>
          <w:szCs w:val="20"/>
          <w:lang w:val="en-GB" w:eastAsia="pl-PL"/>
        </w:rPr>
        <w:t>state-of-the-art</w:t>
      </w:r>
      <w:r w:rsidRPr="00D33DF7">
        <w:rPr>
          <w:rFonts w:ascii="Verdana" w:hAnsi="Verdana" w:cs="Arial"/>
          <w:bCs/>
          <w:color w:val="000000" w:themeColor="text1"/>
          <w:sz w:val="20"/>
          <w:szCs w:val="20"/>
          <w:lang w:val="en-GB" w:eastAsia="pl-PL"/>
        </w:rPr>
        <w:t xml:space="preserve"> technology. A key element in the implementation of </w:t>
      </w:r>
      <w:r w:rsidR="00BA51EA" w:rsidRPr="00D33DF7">
        <w:rPr>
          <w:rFonts w:ascii="Verdana" w:hAnsi="Verdana" w:cs="Arial"/>
          <w:bCs/>
          <w:color w:val="000000" w:themeColor="text1"/>
          <w:sz w:val="20"/>
          <w:szCs w:val="20"/>
          <w:lang w:val="en-GB" w:eastAsia="pl-PL"/>
        </w:rPr>
        <w:t>GPW’s</w:t>
      </w:r>
      <w:r w:rsidRPr="00D33DF7">
        <w:rPr>
          <w:rFonts w:ascii="Verdana" w:hAnsi="Verdana" w:cs="Arial"/>
          <w:bCs/>
          <w:color w:val="000000" w:themeColor="text1"/>
          <w:sz w:val="20"/>
          <w:szCs w:val="20"/>
          <w:lang w:val="en-GB" w:eastAsia="pl-PL"/>
        </w:rPr>
        <w:t xml:space="preserve"> strategy is the development of modern services and products, reflected in </w:t>
      </w:r>
      <w:r w:rsidR="00BA51EA" w:rsidRPr="00D33DF7">
        <w:rPr>
          <w:rFonts w:ascii="Verdana" w:hAnsi="Verdana" w:cs="Arial"/>
          <w:bCs/>
          <w:color w:val="000000" w:themeColor="text1"/>
          <w:sz w:val="20"/>
          <w:szCs w:val="20"/>
          <w:lang w:val="en-GB" w:eastAsia="pl-PL"/>
        </w:rPr>
        <w:t xml:space="preserve">such </w:t>
      </w:r>
      <w:r w:rsidRPr="00D33DF7">
        <w:rPr>
          <w:rFonts w:ascii="Verdana" w:hAnsi="Verdana" w:cs="Arial"/>
          <w:bCs/>
          <w:color w:val="000000" w:themeColor="text1"/>
          <w:sz w:val="20"/>
          <w:szCs w:val="20"/>
          <w:lang w:val="en-GB" w:eastAsia="pl-PL"/>
        </w:rPr>
        <w:t xml:space="preserve">initiatives as the Zero Fees Programme for ETF trading, which has </w:t>
      </w:r>
      <w:r w:rsidR="00BA51EA" w:rsidRPr="00D33DF7">
        <w:rPr>
          <w:rFonts w:ascii="Verdana" w:hAnsi="Verdana" w:cs="Arial"/>
          <w:bCs/>
          <w:color w:val="000000" w:themeColor="text1"/>
          <w:sz w:val="20"/>
          <w:szCs w:val="20"/>
          <w:lang w:val="en-GB" w:eastAsia="pl-PL"/>
        </w:rPr>
        <w:t>enabled</w:t>
      </w:r>
      <w:r w:rsidRPr="00D33DF7">
        <w:rPr>
          <w:rFonts w:ascii="Verdana" w:hAnsi="Verdana" w:cs="Arial"/>
          <w:bCs/>
          <w:color w:val="000000" w:themeColor="text1"/>
          <w:sz w:val="20"/>
          <w:szCs w:val="20"/>
          <w:lang w:val="en-GB" w:eastAsia="pl-PL"/>
        </w:rPr>
        <w:t xml:space="preserve"> a more than twofold increase in </w:t>
      </w:r>
      <w:r w:rsidR="00BA51EA" w:rsidRPr="00D33DF7">
        <w:rPr>
          <w:rFonts w:ascii="Verdana" w:hAnsi="Verdana" w:cs="Arial"/>
          <w:bCs/>
          <w:color w:val="000000" w:themeColor="text1"/>
          <w:sz w:val="20"/>
          <w:szCs w:val="20"/>
          <w:lang w:val="en-GB" w:eastAsia="pl-PL"/>
        </w:rPr>
        <w:t>ETF turnover</w:t>
      </w:r>
      <w:r w:rsidRPr="00D33DF7">
        <w:rPr>
          <w:rFonts w:ascii="Verdana" w:hAnsi="Verdana" w:cs="Arial"/>
          <w:bCs/>
          <w:color w:val="000000" w:themeColor="text1"/>
          <w:sz w:val="20"/>
          <w:szCs w:val="20"/>
          <w:lang w:val="en-GB" w:eastAsia="pl-PL"/>
        </w:rPr>
        <w:t xml:space="preserve"> compared to last year.</w:t>
      </w:r>
    </w:p>
    <w:p w14:paraId="5A711CA5" w14:textId="77777777" w:rsidR="00995FC0" w:rsidRPr="00D33DF7" w:rsidRDefault="00995FC0" w:rsidP="0088147C">
      <w:pPr>
        <w:spacing w:after="0"/>
        <w:jc w:val="both"/>
        <w:rPr>
          <w:rFonts w:ascii="Verdana" w:hAnsi="Verdana" w:cs="Arial"/>
          <w:bCs/>
          <w:color w:val="000000" w:themeColor="text1"/>
          <w:sz w:val="20"/>
          <w:szCs w:val="20"/>
          <w:lang w:val="en-GB" w:eastAsia="pl-PL"/>
        </w:rPr>
      </w:pPr>
    </w:p>
    <w:p w14:paraId="36D815D3" w14:textId="589A82DD" w:rsidR="000A5166" w:rsidRPr="00D33DF7" w:rsidRDefault="00BA51EA"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GPW</w:t>
      </w:r>
      <w:r w:rsidR="000A5166" w:rsidRPr="00D33DF7">
        <w:rPr>
          <w:rFonts w:ascii="Verdana" w:hAnsi="Verdana" w:cs="Arial"/>
          <w:bCs/>
          <w:color w:val="000000" w:themeColor="text1"/>
          <w:sz w:val="20"/>
          <w:szCs w:val="20"/>
          <w:lang w:val="en-GB" w:eastAsia="pl-PL"/>
        </w:rPr>
        <w:t xml:space="preserve"> is </w:t>
      </w:r>
      <w:r w:rsidRPr="00D33DF7">
        <w:rPr>
          <w:rFonts w:ascii="Verdana" w:hAnsi="Verdana" w:cs="Arial"/>
          <w:bCs/>
          <w:color w:val="000000" w:themeColor="text1"/>
          <w:sz w:val="20"/>
          <w:szCs w:val="20"/>
          <w:lang w:val="en-GB" w:eastAsia="pl-PL"/>
        </w:rPr>
        <w:t>looking forward</w:t>
      </w:r>
      <w:r w:rsidR="000A5166" w:rsidRPr="00D33DF7">
        <w:rPr>
          <w:rFonts w:ascii="Verdana" w:hAnsi="Verdana" w:cs="Arial"/>
          <w:bCs/>
          <w:color w:val="000000" w:themeColor="text1"/>
          <w:sz w:val="20"/>
          <w:szCs w:val="20"/>
          <w:lang w:val="en-GB" w:eastAsia="pl-PL"/>
        </w:rPr>
        <w:t xml:space="preserve"> </w:t>
      </w:r>
      <w:r w:rsidR="000F09F1" w:rsidRPr="00D33DF7">
        <w:rPr>
          <w:rFonts w:ascii="Verdana" w:hAnsi="Verdana" w:cs="Arial"/>
          <w:bCs/>
          <w:color w:val="000000" w:themeColor="text1"/>
          <w:sz w:val="20"/>
          <w:szCs w:val="20"/>
          <w:lang w:val="en-GB" w:eastAsia="pl-PL"/>
        </w:rPr>
        <w:t xml:space="preserve">to </w:t>
      </w:r>
      <w:r w:rsidR="000A5166" w:rsidRPr="00D33DF7">
        <w:rPr>
          <w:rFonts w:ascii="Verdana" w:hAnsi="Verdana" w:cs="Arial"/>
          <w:bCs/>
          <w:color w:val="000000" w:themeColor="text1"/>
          <w:sz w:val="20"/>
          <w:szCs w:val="20"/>
          <w:lang w:val="en-GB" w:eastAsia="pl-PL"/>
        </w:rPr>
        <w:t xml:space="preserve">the </w:t>
      </w:r>
      <w:r w:rsidR="000F09F1" w:rsidRPr="00D33DF7">
        <w:rPr>
          <w:rFonts w:ascii="Verdana" w:hAnsi="Verdana" w:cs="Arial"/>
          <w:bCs/>
          <w:color w:val="000000" w:themeColor="text1"/>
          <w:sz w:val="20"/>
          <w:szCs w:val="20"/>
          <w:lang w:val="en-GB" w:eastAsia="pl-PL"/>
        </w:rPr>
        <w:t>launch</w:t>
      </w:r>
      <w:r w:rsidR="000A5166" w:rsidRPr="00D33DF7">
        <w:rPr>
          <w:rFonts w:ascii="Verdana" w:hAnsi="Verdana" w:cs="Arial"/>
          <w:bCs/>
          <w:color w:val="000000" w:themeColor="text1"/>
          <w:sz w:val="20"/>
          <w:szCs w:val="20"/>
          <w:lang w:val="en-GB" w:eastAsia="pl-PL"/>
        </w:rPr>
        <w:t xml:space="preserve"> of </w:t>
      </w:r>
      <w:r w:rsidRPr="00D33DF7">
        <w:rPr>
          <w:rFonts w:ascii="Verdana" w:hAnsi="Verdana" w:cs="Arial"/>
          <w:bCs/>
          <w:color w:val="000000" w:themeColor="text1"/>
          <w:sz w:val="20"/>
          <w:szCs w:val="20"/>
          <w:lang w:val="en-GB" w:eastAsia="pl-PL"/>
        </w:rPr>
        <w:t xml:space="preserve">such </w:t>
      </w:r>
      <w:r w:rsidR="000A5166" w:rsidRPr="00D33DF7">
        <w:rPr>
          <w:rFonts w:ascii="Verdana" w:hAnsi="Verdana" w:cs="Arial"/>
          <w:bCs/>
          <w:color w:val="000000" w:themeColor="text1"/>
          <w:sz w:val="20"/>
          <w:szCs w:val="20"/>
          <w:lang w:val="en-GB" w:eastAsia="pl-PL"/>
        </w:rPr>
        <w:t>solutions as the Personal Investment Account</w:t>
      </w:r>
      <w:r w:rsidRPr="00D33DF7">
        <w:rPr>
          <w:rFonts w:ascii="Verdana" w:hAnsi="Verdana" w:cs="Arial"/>
          <w:bCs/>
          <w:color w:val="000000" w:themeColor="text1"/>
          <w:sz w:val="20"/>
          <w:szCs w:val="20"/>
          <w:lang w:val="en-GB" w:eastAsia="pl-PL"/>
        </w:rPr>
        <w:t>s (OKI)</w:t>
      </w:r>
      <w:r w:rsidR="000A5166" w:rsidRPr="00D33DF7">
        <w:rPr>
          <w:rFonts w:ascii="Verdana" w:hAnsi="Verdana" w:cs="Arial"/>
          <w:bCs/>
          <w:color w:val="000000" w:themeColor="text1"/>
          <w:sz w:val="20"/>
          <w:szCs w:val="20"/>
          <w:lang w:val="en-GB" w:eastAsia="pl-PL"/>
        </w:rPr>
        <w:t xml:space="preserve">, which could be a breakthrough for the development of the capital market. </w:t>
      </w:r>
      <w:r w:rsidRPr="00D33DF7">
        <w:rPr>
          <w:rFonts w:ascii="Verdana" w:hAnsi="Verdana" w:cs="Arial"/>
          <w:bCs/>
          <w:color w:val="000000" w:themeColor="text1"/>
          <w:sz w:val="20"/>
          <w:szCs w:val="20"/>
          <w:lang w:val="en-GB" w:eastAsia="pl-PL"/>
        </w:rPr>
        <w:lastRenderedPageBreak/>
        <w:t>Meanwhile, GPW</w:t>
      </w:r>
      <w:r w:rsidR="000A5166" w:rsidRPr="00D33DF7">
        <w:rPr>
          <w:rFonts w:ascii="Verdana" w:hAnsi="Verdana" w:cs="Arial"/>
          <w:bCs/>
          <w:color w:val="000000" w:themeColor="text1"/>
          <w:sz w:val="20"/>
          <w:szCs w:val="20"/>
          <w:lang w:val="en-GB" w:eastAsia="pl-PL"/>
        </w:rPr>
        <w:t xml:space="preserve"> is actively participating in consultations on a </w:t>
      </w:r>
      <w:r w:rsidR="00BD509C" w:rsidRPr="00D33DF7">
        <w:rPr>
          <w:rFonts w:ascii="Verdana" w:hAnsi="Verdana" w:cs="Arial"/>
          <w:bCs/>
          <w:color w:val="000000" w:themeColor="text1"/>
          <w:sz w:val="20"/>
          <w:szCs w:val="20"/>
          <w:lang w:val="en-GB" w:eastAsia="pl-PL"/>
        </w:rPr>
        <w:t>range</w:t>
      </w:r>
      <w:r w:rsidR="000A5166" w:rsidRPr="00D33DF7">
        <w:rPr>
          <w:rFonts w:ascii="Verdana" w:hAnsi="Verdana" w:cs="Arial"/>
          <w:bCs/>
          <w:color w:val="000000" w:themeColor="text1"/>
          <w:sz w:val="20"/>
          <w:szCs w:val="20"/>
          <w:lang w:val="en-GB" w:eastAsia="pl-PL"/>
        </w:rPr>
        <w:t xml:space="preserve"> of regulatory changes, including the Listing Act, </w:t>
      </w:r>
      <w:r w:rsidR="00BD509C" w:rsidRPr="00D33DF7">
        <w:rPr>
          <w:rFonts w:ascii="Verdana" w:hAnsi="Verdana" w:cs="Arial"/>
          <w:bCs/>
          <w:color w:val="000000" w:themeColor="text1"/>
          <w:sz w:val="20"/>
          <w:szCs w:val="20"/>
          <w:lang w:val="en-GB" w:eastAsia="pl-PL"/>
        </w:rPr>
        <w:t>which aim to simplify</w:t>
      </w:r>
      <w:r w:rsidR="000A5166" w:rsidRPr="00D33DF7">
        <w:rPr>
          <w:rFonts w:ascii="Verdana" w:hAnsi="Verdana" w:cs="Arial"/>
          <w:bCs/>
          <w:color w:val="000000" w:themeColor="text1"/>
          <w:sz w:val="20"/>
          <w:szCs w:val="20"/>
          <w:lang w:val="en-GB" w:eastAsia="pl-PL"/>
        </w:rPr>
        <w:t xml:space="preserve"> the process of raising capital by companies and reduc</w:t>
      </w:r>
      <w:r w:rsidR="00BD509C" w:rsidRPr="00D33DF7">
        <w:rPr>
          <w:rFonts w:ascii="Verdana" w:hAnsi="Verdana" w:cs="Arial"/>
          <w:bCs/>
          <w:color w:val="000000" w:themeColor="text1"/>
          <w:sz w:val="20"/>
          <w:szCs w:val="20"/>
          <w:lang w:val="en-GB" w:eastAsia="pl-PL"/>
        </w:rPr>
        <w:t>e</w:t>
      </w:r>
      <w:r w:rsidR="000A5166" w:rsidRPr="00D33DF7">
        <w:rPr>
          <w:rFonts w:ascii="Verdana" w:hAnsi="Verdana" w:cs="Arial"/>
          <w:bCs/>
          <w:color w:val="000000" w:themeColor="text1"/>
          <w:sz w:val="20"/>
          <w:szCs w:val="20"/>
          <w:lang w:val="en-GB" w:eastAsia="pl-PL"/>
        </w:rPr>
        <w:t xml:space="preserve"> the administrative burden on issuers.</w:t>
      </w:r>
    </w:p>
    <w:p w14:paraId="1544EBBE" w14:textId="77777777" w:rsidR="00CD7F01" w:rsidRPr="00D33DF7" w:rsidRDefault="00CD7F01" w:rsidP="0088147C">
      <w:pPr>
        <w:spacing w:after="0"/>
        <w:jc w:val="both"/>
        <w:rPr>
          <w:rFonts w:ascii="Verdana" w:hAnsi="Verdana" w:cs="Arial"/>
          <w:bCs/>
          <w:color w:val="000000" w:themeColor="text1"/>
          <w:sz w:val="20"/>
          <w:szCs w:val="20"/>
          <w:lang w:val="en-GB" w:eastAsia="pl-PL"/>
        </w:rPr>
      </w:pPr>
    </w:p>
    <w:p w14:paraId="092CBFE7" w14:textId="1F53AB01"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 xml:space="preserve">Another pillar of the Strategy is to increase the number of IPOs and actively support issuers. In this </w:t>
      </w:r>
      <w:r w:rsidR="00BD509C" w:rsidRPr="00D33DF7">
        <w:rPr>
          <w:rFonts w:ascii="Verdana" w:hAnsi="Verdana" w:cs="Arial"/>
          <w:bCs/>
          <w:color w:val="000000" w:themeColor="text1"/>
          <w:sz w:val="20"/>
          <w:szCs w:val="20"/>
          <w:lang w:val="en-GB" w:eastAsia="pl-PL"/>
        </w:rPr>
        <w:t>regard, GPW</w:t>
      </w:r>
      <w:r w:rsidRPr="00D33DF7">
        <w:rPr>
          <w:rFonts w:ascii="Verdana" w:hAnsi="Verdana" w:cs="Arial"/>
          <w:bCs/>
          <w:color w:val="000000" w:themeColor="text1"/>
          <w:sz w:val="20"/>
          <w:szCs w:val="20"/>
          <w:lang w:val="en-GB" w:eastAsia="pl-PL"/>
        </w:rPr>
        <w:t xml:space="preserve"> is </w:t>
      </w:r>
      <w:r w:rsidR="00BD509C" w:rsidRPr="00D33DF7">
        <w:rPr>
          <w:rFonts w:ascii="Verdana" w:hAnsi="Verdana" w:cs="Arial"/>
          <w:bCs/>
          <w:color w:val="000000" w:themeColor="text1"/>
          <w:sz w:val="20"/>
          <w:szCs w:val="20"/>
          <w:lang w:val="en-GB" w:eastAsia="pl-PL"/>
        </w:rPr>
        <w:t>running</w:t>
      </w:r>
      <w:r w:rsidRPr="00D33DF7">
        <w:rPr>
          <w:rFonts w:ascii="Verdana" w:hAnsi="Verdana" w:cs="Arial"/>
          <w:bCs/>
          <w:color w:val="000000" w:themeColor="text1"/>
          <w:sz w:val="20"/>
          <w:szCs w:val="20"/>
          <w:lang w:val="en-GB" w:eastAsia="pl-PL"/>
        </w:rPr>
        <w:t xml:space="preserve"> a number of projects, including the </w:t>
      </w:r>
      <w:r w:rsidR="00BD509C" w:rsidRPr="00D33DF7">
        <w:rPr>
          <w:rFonts w:ascii="Verdana" w:hAnsi="Verdana" w:cs="Arial"/>
          <w:bCs/>
          <w:color w:val="000000" w:themeColor="text1"/>
          <w:sz w:val="20"/>
          <w:szCs w:val="20"/>
          <w:lang w:val="en-GB" w:eastAsia="pl-PL"/>
        </w:rPr>
        <w:t>GPW</w:t>
      </w:r>
      <w:r w:rsidRPr="00D33DF7">
        <w:rPr>
          <w:rFonts w:ascii="Verdana" w:hAnsi="Verdana" w:cs="Arial"/>
          <w:bCs/>
          <w:color w:val="000000" w:themeColor="text1"/>
          <w:sz w:val="20"/>
          <w:szCs w:val="20"/>
          <w:lang w:val="en-GB" w:eastAsia="pl-PL"/>
        </w:rPr>
        <w:t xml:space="preserve"> IPO Academy</w:t>
      </w:r>
      <w:r w:rsidR="00BD509C" w:rsidRPr="00D33DF7">
        <w:rPr>
          <w:rFonts w:ascii="Verdana" w:hAnsi="Verdana" w:cs="Arial"/>
          <w:bCs/>
          <w:color w:val="000000" w:themeColor="text1"/>
          <w:sz w:val="20"/>
          <w:szCs w:val="20"/>
          <w:lang w:val="en-GB" w:eastAsia="pl-PL"/>
        </w:rPr>
        <w:t>,</w:t>
      </w:r>
      <w:r w:rsidRPr="00D33DF7">
        <w:rPr>
          <w:rFonts w:ascii="Verdana" w:hAnsi="Verdana" w:cs="Arial"/>
          <w:bCs/>
          <w:color w:val="000000" w:themeColor="text1"/>
          <w:sz w:val="20"/>
          <w:szCs w:val="20"/>
          <w:lang w:val="en-GB" w:eastAsia="pl-PL"/>
        </w:rPr>
        <w:t xml:space="preserve"> a series of workshops for companies planning to go public, and</w:t>
      </w:r>
      <w:r w:rsidR="00DC2533" w:rsidRPr="00D33DF7">
        <w:rPr>
          <w:rFonts w:ascii="Verdana" w:hAnsi="Verdana" w:cs="Arial"/>
          <w:bCs/>
          <w:color w:val="000000" w:themeColor="text1"/>
          <w:sz w:val="20"/>
          <w:szCs w:val="20"/>
          <w:lang w:val="en-GB" w:eastAsia="pl-PL"/>
        </w:rPr>
        <w:t xml:space="preserve"> the</w:t>
      </w:r>
      <w:r w:rsidRPr="00D33DF7">
        <w:rPr>
          <w:rFonts w:ascii="Verdana" w:hAnsi="Verdana" w:cs="Arial"/>
          <w:bCs/>
          <w:color w:val="000000" w:themeColor="text1"/>
          <w:sz w:val="20"/>
          <w:szCs w:val="20"/>
          <w:lang w:val="en-GB" w:eastAsia="pl-PL"/>
        </w:rPr>
        <w:t xml:space="preserve"> </w:t>
      </w:r>
      <w:r w:rsidR="00BD509C" w:rsidRPr="00D33DF7">
        <w:rPr>
          <w:rFonts w:ascii="Verdana" w:hAnsi="Verdana" w:cs="Arial"/>
          <w:bCs/>
          <w:color w:val="000000" w:themeColor="text1"/>
          <w:sz w:val="20"/>
          <w:szCs w:val="20"/>
          <w:lang w:val="en-GB" w:eastAsia="pl-PL"/>
        </w:rPr>
        <w:t>GPW</w:t>
      </w:r>
      <w:r w:rsidRPr="00D33DF7">
        <w:rPr>
          <w:rFonts w:ascii="Verdana" w:hAnsi="Verdana" w:cs="Arial"/>
          <w:bCs/>
          <w:color w:val="000000" w:themeColor="text1"/>
          <w:sz w:val="20"/>
          <w:szCs w:val="20"/>
          <w:lang w:val="en-GB" w:eastAsia="pl-PL"/>
        </w:rPr>
        <w:t xml:space="preserve"> IPO Bridge, which </w:t>
      </w:r>
      <w:r w:rsidR="00793EEF" w:rsidRPr="00D33DF7">
        <w:rPr>
          <w:rFonts w:ascii="Verdana" w:hAnsi="Verdana" w:cs="Arial"/>
          <w:bCs/>
          <w:color w:val="000000" w:themeColor="text1"/>
          <w:sz w:val="20"/>
          <w:szCs w:val="20"/>
          <w:lang w:val="en-GB" w:eastAsia="pl-PL"/>
        </w:rPr>
        <w:t>links</w:t>
      </w:r>
      <w:r w:rsidRPr="00D33DF7">
        <w:rPr>
          <w:rFonts w:ascii="Verdana" w:hAnsi="Verdana" w:cs="Arial"/>
          <w:bCs/>
          <w:color w:val="000000" w:themeColor="text1"/>
          <w:sz w:val="20"/>
          <w:szCs w:val="20"/>
          <w:lang w:val="en-GB" w:eastAsia="pl-PL"/>
        </w:rPr>
        <w:t xml:space="preserve"> companies </w:t>
      </w:r>
      <w:r w:rsidR="00793EEF" w:rsidRPr="00D33DF7">
        <w:rPr>
          <w:rFonts w:ascii="Verdana" w:hAnsi="Verdana" w:cs="Arial"/>
          <w:bCs/>
          <w:color w:val="000000" w:themeColor="text1"/>
          <w:sz w:val="20"/>
          <w:szCs w:val="20"/>
          <w:lang w:val="en-GB" w:eastAsia="pl-PL"/>
        </w:rPr>
        <w:t>with</w:t>
      </w:r>
      <w:r w:rsidRPr="00D33DF7">
        <w:rPr>
          <w:rFonts w:ascii="Verdana" w:hAnsi="Verdana" w:cs="Arial"/>
          <w:bCs/>
          <w:color w:val="000000" w:themeColor="text1"/>
          <w:sz w:val="20"/>
          <w:szCs w:val="20"/>
          <w:lang w:val="en-GB" w:eastAsia="pl-PL"/>
        </w:rPr>
        <w:t xml:space="preserve"> private equity funds and brokerage </w:t>
      </w:r>
      <w:r w:rsidR="00B519EF" w:rsidRPr="00D33DF7">
        <w:rPr>
          <w:rFonts w:ascii="Verdana" w:hAnsi="Verdana" w:cs="Arial"/>
          <w:bCs/>
          <w:color w:val="000000" w:themeColor="text1"/>
          <w:sz w:val="20"/>
          <w:szCs w:val="20"/>
          <w:lang w:val="en-GB" w:eastAsia="pl-PL"/>
        </w:rPr>
        <w:t>firms</w:t>
      </w:r>
      <w:r w:rsidRPr="00D33DF7">
        <w:rPr>
          <w:rFonts w:ascii="Verdana" w:hAnsi="Verdana" w:cs="Arial"/>
          <w:bCs/>
          <w:color w:val="000000" w:themeColor="text1"/>
          <w:sz w:val="20"/>
          <w:szCs w:val="20"/>
          <w:lang w:val="en-GB" w:eastAsia="pl-PL"/>
        </w:rPr>
        <w:t>.</w:t>
      </w:r>
    </w:p>
    <w:p w14:paraId="033AB102" w14:textId="77777777" w:rsidR="00CD7F01" w:rsidRPr="00D33DF7" w:rsidRDefault="00CD7F01" w:rsidP="00CD7F01">
      <w:pPr>
        <w:spacing w:after="0"/>
        <w:jc w:val="both"/>
        <w:rPr>
          <w:rFonts w:ascii="Verdana" w:hAnsi="Verdana" w:cs="Arial"/>
          <w:bCs/>
          <w:color w:val="000000" w:themeColor="text1"/>
          <w:sz w:val="20"/>
          <w:szCs w:val="20"/>
          <w:lang w:val="en-GB" w:eastAsia="pl-PL"/>
        </w:rPr>
      </w:pPr>
    </w:p>
    <w:p w14:paraId="34073CFB" w14:textId="4EE35FB7" w:rsidR="000A5166" w:rsidRPr="00D33DF7" w:rsidRDefault="00B519EF"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T</w:t>
      </w:r>
      <w:r w:rsidR="000A5166" w:rsidRPr="00D33DF7">
        <w:rPr>
          <w:rFonts w:ascii="Verdana" w:hAnsi="Verdana" w:cs="Arial"/>
          <w:bCs/>
          <w:color w:val="000000" w:themeColor="text1"/>
          <w:sz w:val="20"/>
          <w:szCs w:val="20"/>
          <w:lang w:val="en-GB" w:eastAsia="pl-PL"/>
        </w:rPr>
        <w:t>he Analytical Coverage Support Programme (PWPA 5.0) ha</w:t>
      </w:r>
      <w:r w:rsidRPr="00D33DF7">
        <w:rPr>
          <w:rFonts w:ascii="Verdana" w:hAnsi="Verdana" w:cs="Arial"/>
          <w:bCs/>
          <w:color w:val="000000" w:themeColor="text1"/>
          <w:sz w:val="20"/>
          <w:szCs w:val="20"/>
          <w:lang w:val="en-GB" w:eastAsia="pl-PL"/>
        </w:rPr>
        <w:t>s</w:t>
      </w:r>
      <w:r w:rsidR="000A5166" w:rsidRPr="00D33DF7">
        <w:rPr>
          <w:rFonts w:ascii="Verdana" w:hAnsi="Verdana" w:cs="Arial"/>
          <w:bCs/>
          <w:color w:val="000000" w:themeColor="text1"/>
          <w:sz w:val="20"/>
          <w:szCs w:val="20"/>
          <w:lang w:val="en-GB" w:eastAsia="pl-PL"/>
        </w:rPr>
        <w:t xml:space="preserve"> extended</w:t>
      </w:r>
      <w:r w:rsidRPr="00D33DF7">
        <w:rPr>
          <w:rFonts w:ascii="Verdana" w:hAnsi="Verdana" w:cs="Arial"/>
          <w:bCs/>
          <w:color w:val="000000" w:themeColor="text1"/>
          <w:sz w:val="20"/>
          <w:szCs w:val="20"/>
          <w:lang w:val="en-GB" w:eastAsia="pl-PL"/>
        </w:rPr>
        <w:t xml:space="preserve"> </w:t>
      </w:r>
      <w:r w:rsidR="0047389B" w:rsidRPr="00D33DF7">
        <w:rPr>
          <w:rFonts w:ascii="Verdana" w:hAnsi="Verdana" w:cs="Arial"/>
          <w:bCs/>
          <w:color w:val="000000" w:themeColor="text1"/>
          <w:sz w:val="20"/>
          <w:szCs w:val="20"/>
          <w:lang w:val="en-GB" w:eastAsia="pl-PL"/>
        </w:rPr>
        <w:t xml:space="preserve">the scope of </w:t>
      </w:r>
      <w:r w:rsidRPr="00D33DF7">
        <w:rPr>
          <w:rFonts w:ascii="Verdana" w:hAnsi="Verdana" w:cs="Arial"/>
          <w:bCs/>
          <w:color w:val="000000" w:themeColor="text1"/>
          <w:sz w:val="20"/>
          <w:szCs w:val="20"/>
          <w:lang w:val="en-GB" w:eastAsia="pl-PL"/>
        </w:rPr>
        <w:t>research</w:t>
      </w:r>
      <w:r w:rsidR="000A5166" w:rsidRPr="00D33DF7">
        <w:rPr>
          <w:rFonts w:ascii="Verdana" w:hAnsi="Verdana" w:cs="Arial"/>
          <w:bCs/>
          <w:color w:val="000000" w:themeColor="text1"/>
          <w:sz w:val="20"/>
          <w:szCs w:val="20"/>
          <w:lang w:val="en-GB" w:eastAsia="pl-PL"/>
        </w:rPr>
        <w:t xml:space="preserve"> to </w:t>
      </w:r>
      <w:r w:rsidRPr="00D33DF7">
        <w:rPr>
          <w:rFonts w:ascii="Verdana" w:hAnsi="Verdana" w:cs="Arial"/>
          <w:bCs/>
          <w:color w:val="000000" w:themeColor="text1"/>
          <w:sz w:val="20"/>
          <w:szCs w:val="20"/>
          <w:lang w:val="en-GB" w:eastAsia="pl-PL"/>
        </w:rPr>
        <w:t>cover</w:t>
      </w:r>
      <w:r w:rsidR="000A5166" w:rsidRPr="00D33DF7">
        <w:rPr>
          <w:rFonts w:ascii="Verdana" w:hAnsi="Verdana" w:cs="Arial"/>
          <w:bCs/>
          <w:color w:val="000000" w:themeColor="text1"/>
          <w:sz w:val="20"/>
          <w:szCs w:val="20"/>
          <w:lang w:val="en-GB" w:eastAsia="pl-PL"/>
        </w:rPr>
        <w:t xml:space="preserve"> NewConnect and Catalyst</w:t>
      </w:r>
      <w:r w:rsidR="0047389B" w:rsidRPr="00D33DF7">
        <w:rPr>
          <w:rFonts w:ascii="Verdana" w:hAnsi="Verdana" w:cs="Arial"/>
          <w:bCs/>
          <w:color w:val="000000" w:themeColor="text1"/>
          <w:sz w:val="20"/>
          <w:szCs w:val="20"/>
          <w:lang w:val="en-GB" w:eastAsia="pl-PL"/>
        </w:rPr>
        <w:t>-listed</w:t>
      </w:r>
      <w:r w:rsidR="000A5166" w:rsidRPr="00D33DF7">
        <w:rPr>
          <w:rFonts w:ascii="Verdana" w:hAnsi="Verdana" w:cs="Arial"/>
          <w:bCs/>
          <w:color w:val="000000" w:themeColor="text1"/>
          <w:sz w:val="20"/>
          <w:szCs w:val="20"/>
          <w:lang w:val="en-GB" w:eastAsia="pl-PL"/>
        </w:rPr>
        <w:t xml:space="preserve"> </w:t>
      </w:r>
      <w:r w:rsidRPr="00D33DF7">
        <w:rPr>
          <w:rFonts w:ascii="Verdana" w:hAnsi="Verdana" w:cs="Arial"/>
          <w:bCs/>
          <w:color w:val="000000" w:themeColor="text1"/>
          <w:sz w:val="20"/>
          <w:szCs w:val="20"/>
          <w:lang w:val="en-GB" w:eastAsia="pl-PL"/>
        </w:rPr>
        <w:t>companies</w:t>
      </w:r>
      <w:r w:rsidR="000A5166" w:rsidRPr="00D33DF7">
        <w:rPr>
          <w:rFonts w:ascii="Verdana" w:hAnsi="Verdana" w:cs="Arial"/>
          <w:bCs/>
          <w:color w:val="000000" w:themeColor="text1"/>
          <w:sz w:val="20"/>
          <w:szCs w:val="20"/>
          <w:lang w:val="en-GB" w:eastAsia="pl-PL"/>
        </w:rPr>
        <w:t>, enhanc</w:t>
      </w:r>
      <w:r w:rsidRPr="00D33DF7">
        <w:rPr>
          <w:rFonts w:ascii="Verdana" w:hAnsi="Verdana" w:cs="Arial"/>
          <w:bCs/>
          <w:color w:val="000000" w:themeColor="text1"/>
          <w:sz w:val="20"/>
          <w:szCs w:val="20"/>
          <w:lang w:val="en-GB" w:eastAsia="pl-PL"/>
        </w:rPr>
        <w:t>ing</w:t>
      </w:r>
      <w:r w:rsidR="000A5166" w:rsidRPr="00D33DF7">
        <w:rPr>
          <w:rFonts w:ascii="Verdana" w:hAnsi="Verdana" w:cs="Arial"/>
          <w:bCs/>
          <w:color w:val="000000" w:themeColor="text1"/>
          <w:sz w:val="20"/>
          <w:szCs w:val="20"/>
          <w:lang w:val="en-GB" w:eastAsia="pl-PL"/>
        </w:rPr>
        <w:t xml:space="preserve"> market transparency and investors</w:t>
      </w:r>
      <w:r w:rsidRPr="00D33DF7">
        <w:rPr>
          <w:rFonts w:ascii="Verdana" w:hAnsi="Verdana" w:cs="Arial"/>
          <w:bCs/>
          <w:color w:val="000000" w:themeColor="text1"/>
          <w:sz w:val="20"/>
          <w:szCs w:val="20"/>
          <w:lang w:val="en-GB" w:eastAsia="pl-PL"/>
        </w:rPr>
        <w:t>’</w:t>
      </w:r>
      <w:r w:rsidR="000A5166" w:rsidRPr="00D33DF7">
        <w:rPr>
          <w:rFonts w:ascii="Verdana" w:hAnsi="Verdana" w:cs="Arial"/>
          <w:bCs/>
          <w:color w:val="000000" w:themeColor="text1"/>
          <w:sz w:val="20"/>
          <w:szCs w:val="20"/>
          <w:lang w:val="en-GB" w:eastAsia="pl-PL"/>
        </w:rPr>
        <w:t xml:space="preserve"> access to reliable information. </w:t>
      </w:r>
      <w:r w:rsidRPr="00D33DF7">
        <w:rPr>
          <w:rFonts w:ascii="Verdana" w:hAnsi="Verdana" w:cs="Arial"/>
          <w:bCs/>
          <w:color w:val="000000" w:themeColor="text1"/>
          <w:sz w:val="20"/>
          <w:szCs w:val="20"/>
          <w:lang w:val="en-GB" w:eastAsia="pl-PL"/>
        </w:rPr>
        <w:t>The</w:t>
      </w:r>
      <w:r w:rsidR="000A5166" w:rsidRPr="00D33DF7">
        <w:rPr>
          <w:rFonts w:ascii="Verdana" w:hAnsi="Verdana" w:cs="Arial"/>
          <w:bCs/>
          <w:color w:val="000000" w:themeColor="text1"/>
          <w:sz w:val="20"/>
          <w:szCs w:val="20"/>
          <w:lang w:val="en-GB" w:eastAsia="pl-PL"/>
        </w:rPr>
        <w:t xml:space="preserve"> revitalisation of NewConnect </w:t>
      </w:r>
      <w:r w:rsidRPr="00D33DF7">
        <w:rPr>
          <w:rFonts w:ascii="Verdana" w:hAnsi="Verdana" w:cs="Arial"/>
          <w:bCs/>
          <w:color w:val="000000" w:themeColor="text1"/>
          <w:sz w:val="20"/>
          <w:szCs w:val="20"/>
          <w:lang w:val="en-GB" w:eastAsia="pl-PL"/>
        </w:rPr>
        <w:t xml:space="preserve">has </w:t>
      </w:r>
      <w:r w:rsidR="00793EEF" w:rsidRPr="00D33DF7">
        <w:rPr>
          <w:rFonts w:ascii="Verdana" w:hAnsi="Verdana" w:cs="Arial"/>
          <w:bCs/>
          <w:color w:val="000000" w:themeColor="text1"/>
          <w:sz w:val="20"/>
          <w:szCs w:val="20"/>
          <w:lang w:val="en-GB" w:eastAsia="pl-PL"/>
        </w:rPr>
        <w:t>introduced</w:t>
      </w:r>
      <w:r w:rsidR="000A5166" w:rsidRPr="00D33DF7">
        <w:rPr>
          <w:rFonts w:ascii="Verdana" w:hAnsi="Verdana" w:cs="Arial"/>
          <w:bCs/>
          <w:color w:val="000000" w:themeColor="text1"/>
          <w:sz w:val="20"/>
          <w:szCs w:val="20"/>
          <w:lang w:val="en-GB" w:eastAsia="pl-PL"/>
        </w:rPr>
        <w:t xml:space="preserve"> a new segmentation and a procedure for delisting issuers for failure to submit annual reports. </w:t>
      </w:r>
      <w:r w:rsidR="00816AA9" w:rsidRPr="00D33DF7">
        <w:rPr>
          <w:rFonts w:ascii="Verdana" w:hAnsi="Verdana" w:cs="Arial"/>
          <w:bCs/>
          <w:color w:val="000000" w:themeColor="text1"/>
          <w:sz w:val="20"/>
          <w:szCs w:val="20"/>
          <w:lang w:val="en-GB" w:eastAsia="pl-PL"/>
        </w:rPr>
        <w:t>A highlight</w:t>
      </w:r>
      <w:r w:rsidR="000A5166" w:rsidRPr="00D33DF7">
        <w:rPr>
          <w:rFonts w:ascii="Verdana" w:hAnsi="Verdana" w:cs="Arial"/>
          <w:bCs/>
          <w:color w:val="000000" w:themeColor="text1"/>
          <w:sz w:val="20"/>
          <w:szCs w:val="20"/>
          <w:lang w:val="en-GB" w:eastAsia="pl-PL"/>
        </w:rPr>
        <w:t xml:space="preserve"> for the bond market </w:t>
      </w:r>
      <w:r w:rsidR="00816AA9" w:rsidRPr="00D33DF7">
        <w:rPr>
          <w:rFonts w:ascii="Verdana" w:hAnsi="Verdana" w:cs="Arial"/>
          <w:bCs/>
          <w:color w:val="000000" w:themeColor="text1"/>
          <w:sz w:val="20"/>
          <w:szCs w:val="20"/>
          <w:lang w:val="en-GB" w:eastAsia="pl-PL"/>
        </w:rPr>
        <w:t>is the GPW</w:t>
      </w:r>
      <w:r w:rsidR="000A5166" w:rsidRPr="00D33DF7">
        <w:rPr>
          <w:rFonts w:ascii="Verdana" w:hAnsi="Verdana" w:cs="Arial"/>
          <w:bCs/>
          <w:color w:val="000000" w:themeColor="text1"/>
          <w:sz w:val="20"/>
          <w:szCs w:val="20"/>
          <w:lang w:val="en-GB" w:eastAsia="pl-PL"/>
        </w:rPr>
        <w:t xml:space="preserve"> Catalyst Forum, scheduled for 25 November, which brings together</w:t>
      </w:r>
      <w:r w:rsidR="00816AA9" w:rsidRPr="00D33DF7">
        <w:rPr>
          <w:rFonts w:ascii="Verdana" w:hAnsi="Verdana" w:cs="Arial"/>
          <w:bCs/>
          <w:color w:val="000000" w:themeColor="text1"/>
          <w:sz w:val="20"/>
          <w:szCs w:val="20"/>
          <w:lang w:val="en-GB" w:eastAsia="pl-PL"/>
        </w:rPr>
        <w:t xml:space="preserve"> debt market</w:t>
      </w:r>
      <w:r w:rsidR="000A5166" w:rsidRPr="00D33DF7">
        <w:rPr>
          <w:rFonts w:ascii="Verdana" w:hAnsi="Verdana" w:cs="Arial"/>
          <w:bCs/>
          <w:color w:val="000000" w:themeColor="text1"/>
          <w:sz w:val="20"/>
          <w:szCs w:val="20"/>
          <w:lang w:val="en-GB" w:eastAsia="pl-PL"/>
        </w:rPr>
        <w:t xml:space="preserve"> investors and issuers.</w:t>
      </w:r>
    </w:p>
    <w:p w14:paraId="216C1DD0" w14:textId="77777777" w:rsidR="00CD7F01" w:rsidRPr="00D33DF7" w:rsidRDefault="00CD7F01" w:rsidP="00CD7F01">
      <w:pPr>
        <w:spacing w:after="0"/>
        <w:jc w:val="both"/>
        <w:rPr>
          <w:rFonts w:ascii="Verdana" w:hAnsi="Verdana" w:cs="Arial"/>
          <w:bCs/>
          <w:color w:val="000000" w:themeColor="text1"/>
          <w:sz w:val="20"/>
          <w:szCs w:val="20"/>
          <w:lang w:val="en-GB" w:eastAsia="pl-PL"/>
        </w:rPr>
      </w:pPr>
    </w:p>
    <w:p w14:paraId="554ACE64" w14:textId="43BD45FF"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 xml:space="preserve">Financial education and promotion of the capital market remain significant </w:t>
      </w:r>
      <w:r w:rsidR="00816AA9" w:rsidRPr="00D33DF7">
        <w:rPr>
          <w:rFonts w:ascii="Verdana" w:hAnsi="Verdana" w:cs="Arial"/>
          <w:bCs/>
          <w:color w:val="000000" w:themeColor="text1"/>
          <w:sz w:val="20"/>
          <w:szCs w:val="20"/>
          <w:lang w:val="en-GB" w:eastAsia="pl-PL"/>
        </w:rPr>
        <w:t>parts</w:t>
      </w:r>
      <w:r w:rsidRPr="00D33DF7">
        <w:rPr>
          <w:rFonts w:ascii="Verdana" w:hAnsi="Verdana" w:cs="Arial"/>
          <w:bCs/>
          <w:color w:val="000000" w:themeColor="text1"/>
          <w:sz w:val="20"/>
          <w:szCs w:val="20"/>
          <w:lang w:val="en-GB" w:eastAsia="pl-PL"/>
        </w:rPr>
        <w:t xml:space="preserve"> of the Strategy. The Warsaw Stock Exchange runs nationwide promotional campaigns, such as GPW 24/7 and #ETFnaGPW</w:t>
      </w:r>
      <w:r w:rsidR="00EE5919" w:rsidRPr="00D33DF7">
        <w:rPr>
          <w:rFonts w:ascii="Verdana" w:hAnsi="Verdana" w:cs="Arial"/>
          <w:bCs/>
          <w:color w:val="000000" w:themeColor="text1"/>
          <w:sz w:val="20"/>
          <w:szCs w:val="20"/>
          <w:lang w:val="en-GB" w:eastAsia="pl-PL"/>
        </w:rPr>
        <w:t>,</w:t>
      </w:r>
      <w:r w:rsidR="00331B63" w:rsidRPr="00D33DF7">
        <w:rPr>
          <w:rFonts w:ascii="Verdana" w:hAnsi="Verdana" w:cs="Arial"/>
          <w:bCs/>
          <w:color w:val="000000" w:themeColor="text1"/>
          <w:sz w:val="20"/>
          <w:szCs w:val="20"/>
          <w:lang w:val="en-GB" w:eastAsia="pl-PL"/>
        </w:rPr>
        <w:t xml:space="preserve"> to promote</w:t>
      </w:r>
      <w:r w:rsidRPr="00D33DF7">
        <w:rPr>
          <w:rFonts w:ascii="Verdana" w:hAnsi="Verdana" w:cs="Arial"/>
          <w:bCs/>
          <w:color w:val="000000" w:themeColor="text1"/>
          <w:sz w:val="20"/>
          <w:szCs w:val="20"/>
          <w:lang w:val="en-GB" w:eastAsia="pl-PL"/>
        </w:rPr>
        <w:t xml:space="preserve"> investing and knowledge about the market. The </w:t>
      </w:r>
      <w:r w:rsidR="00331B63" w:rsidRPr="00D33DF7">
        <w:rPr>
          <w:rFonts w:ascii="Verdana" w:hAnsi="Verdana" w:cs="Arial"/>
          <w:bCs/>
          <w:color w:val="000000" w:themeColor="text1"/>
          <w:sz w:val="20"/>
          <w:szCs w:val="20"/>
          <w:lang w:val="en-GB" w:eastAsia="pl-PL"/>
        </w:rPr>
        <w:t>GPW</w:t>
      </w:r>
      <w:r w:rsidRPr="00D33DF7">
        <w:rPr>
          <w:rFonts w:ascii="Verdana" w:hAnsi="Verdana" w:cs="Arial"/>
          <w:bCs/>
          <w:color w:val="000000" w:themeColor="text1"/>
          <w:sz w:val="20"/>
          <w:szCs w:val="20"/>
          <w:lang w:val="en-GB" w:eastAsia="pl-PL"/>
        </w:rPr>
        <w:t xml:space="preserve"> Foundation conducts </w:t>
      </w:r>
      <w:r w:rsidR="00331B63" w:rsidRPr="00D33DF7">
        <w:rPr>
          <w:rFonts w:ascii="Verdana" w:hAnsi="Verdana" w:cs="Arial"/>
          <w:bCs/>
          <w:color w:val="000000" w:themeColor="text1"/>
          <w:sz w:val="20"/>
          <w:szCs w:val="20"/>
          <w:lang w:val="en-GB" w:eastAsia="pl-PL"/>
        </w:rPr>
        <w:t>a range of</w:t>
      </w:r>
      <w:r w:rsidRPr="00D33DF7">
        <w:rPr>
          <w:rFonts w:ascii="Verdana" w:hAnsi="Verdana" w:cs="Arial"/>
          <w:bCs/>
          <w:color w:val="000000" w:themeColor="text1"/>
          <w:sz w:val="20"/>
          <w:szCs w:val="20"/>
          <w:lang w:val="en-GB" w:eastAsia="pl-PL"/>
        </w:rPr>
        <w:t xml:space="preserve"> educational activities, which in 2025 alone have </w:t>
      </w:r>
      <w:r w:rsidR="00D45652" w:rsidRPr="00D33DF7">
        <w:rPr>
          <w:rFonts w:ascii="Verdana" w:hAnsi="Verdana" w:cs="Arial"/>
          <w:bCs/>
          <w:color w:val="000000" w:themeColor="text1"/>
          <w:sz w:val="20"/>
          <w:szCs w:val="20"/>
          <w:lang w:val="en-GB" w:eastAsia="pl-PL"/>
        </w:rPr>
        <w:t>attracted</w:t>
      </w:r>
      <w:r w:rsidRPr="00D33DF7">
        <w:rPr>
          <w:rFonts w:ascii="Verdana" w:hAnsi="Verdana" w:cs="Arial"/>
          <w:bCs/>
          <w:color w:val="000000" w:themeColor="text1"/>
          <w:sz w:val="20"/>
          <w:szCs w:val="20"/>
          <w:lang w:val="en-GB" w:eastAsia="pl-PL"/>
        </w:rPr>
        <w:t xml:space="preserve"> </w:t>
      </w:r>
      <w:r w:rsidR="00EE5919" w:rsidRPr="00D33DF7">
        <w:rPr>
          <w:rFonts w:ascii="Verdana" w:hAnsi="Verdana" w:cs="Arial"/>
          <w:bCs/>
          <w:color w:val="000000" w:themeColor="text1"/>
          <w:sz w:val="20"/>
          <w:szCs w:val="20"/>
          <w:lang w:val="en-GB" w:eastAsia="pl-PL"/>
        </w:rPr>
        <w:t>more than</w:t>
      </w:r>
      <w:r w:rsidRPr="00D33DF7">
        <w:rPr>
          <w:rFonts w:ascii="Verdana" w:hAnsi="Verdana" w:cs="Arial"/>
          <w:bCs/>
          <w:color w:val="000000" w:themeColor="text1"/>
          <w:sz w:val="20"/>
          <w:szCs w:val="20"/>
          <w:lang w:val="en-GB" w:eastAsia="pl-PL"/>
        </w:rPr>
        <w:t xml:space="preserve"> 70,000 participants. </w:t>
      </w:r>
      <w:r w:rsidR="00D45652" w:rsidRPr="00D33DF7">
        <w:rPr>
          <w:rFonts w:ascii="Verdana" w:hAnsi="Verdana" w:cs="Arial"/>
          <w:bCs/>
          <w:color w:val="000000" w:themeColor="text1"/>
          <w:sz w:val="20"/>
          <w:szCs w:val="20"/>
          <w:lang w:val="en-GB" w:eastAsia="pl-PL"/>
        </w:rPr>
        <w:t>T</w:t>
      </w:r>
      <w:r w:rsidRPr="00D33DF7">
        <w:rPr>
          <w:rFonts w:ascii="Verdana" w:hAnsi="Verdana" w:cs="Arial"/>
          <w:bCs/>
          <w:color w:val="000000" w:themeColor="text1"/>
          <w:sz w:val="20"/>
          <w:szCs w:val="20"/>
          <w:lang w:val="en-GB" w:eastAsia="pl-PL"/>
        </w:rPr>
        <w:t>he GPW FutureBridge programme, implemented in cooperation with the Warsaw School of Economics</w:t>
      </w:r>
      <w:r w:rsidR="00D45652" w:rsidRPr="00D33DF7">
        <w:rPr>
          <w:rFonts w:ascii="Verdana" w:hAnsi="Verdana" w:cs="Arial"/>
          <w:bCs/>
          <w:color w:val="000000" w:themeColor="text1"/>
          <w:sz w:val="20"/>
          <w:szCs w:val="20"/>
          <w:lang w:val="en-GB" w:eastAsia="pl-PL"/>
        </w:rPr>
        <w:t xml:space="preserve"> (SGH)</w:t>
      </w:r>
      <w:r w:rsidRPr="00D33DF7">
        <w:rPr>
          <w:rFonts w:ascii="Verdana" w:hAnsi="Verdana" w:cs="Arial"/>
          <w:bCs/>
          <w:color w:val="000000" w:themeColor="text1"/>
          <w:sz w:val="20"/>
          <w:szCs w:val="20"/>
          <w:lang w:val="en-GB" w:eastAsia="pl-PL"/>
        </w:rPr>
        <w:t>, the Kozminski University</w:t>
      </w:r>
      <w:r w:rsidR="00D45652" w:rsidRPr="00D33DF7">
        <w:rPr>
          <w:rFonts w:ascii="Verdana" w:hAnsi="Verdana" w:cs="Arial"/>
          <w:bCs/>
          <w:color w:val="000000" w:themeColor="text1"/>
          <w:sz w:val="20"/>
          <w:szCs w:val="20"/>
          <w:lang w:val="en-GB" w:eastAsia="pl-PL"/>
        </w:rPr>
        <w:t xml:space="preserve"> (ALK)</w:t>
      </w:r>
      <w:r w:rsidRPr="00D33DF7">
        <w:rPr>
          <w:rFonts w:ascii="Verdana" w:hAnsi="Verdana" w:cs="Arial"/>
          <w:bCs/>
          <w:color w:val="000000" w:themeColor="text1"/>
          <w:sz w:val="20"/>
          <w:szCs w:val="20"/>
          <w:lang w:val="en-GB" w:eastAsia="pl-PL"/>
        </w:rPr>
        <w:t xml:space="preserve"> and the Warsaw University of Technology Business School, supports the development of women leaders in leadership and sustainable business.</w:t>
      </w:r>
    </w:p>
    <w:p w14:paraId="1F483A79" w14:textId="6E7A495B" w:rsidR="009E1B16" w:rsidRPr="00D33DF7" w:rsidRDefault="009E1B16" w:rsidP="00CD7F01">
      <w:pPr>
        <w:spacing w:after="0"/>
        <w:jc w:val="both"/>
        <w:rPr>
          <w:rFonts w:ascii="Verdana" w:hAnsi="Verdana" w:cs="Arial"/>
          <w:bCs/>
          <w:color w:val="000000" w:themeColor="text1"/>
          <w:sz w:val="20"/>
          <w:szCs w:val="20"/>
          <w:lang w:val="en-GB" w:eastAsia="pl-PL"/>
        </w:rPr>
      </w:pPr>
    </w:p>
    <w:p w14:paraId="6BEF079F" w14:textId="3E373EA9"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 xml:space="preserve">The Warsaw Stock Exchange has </w:t>
      </w:r>
      <w:r w:rsidR="00D45652" w:rsidRPr="00D33DF7">
        <w:rPr>
          <w:rFonts w:ascii="Verdana" w:hAnsi="Verdana" w:cs="Arial"/>
          <w:bCs/>
          <w:color w:val="000000" w:themeColor="text1"/>
          <w:sz w:val="20"/>
          <w:szCs w:val="20"/>
          <w:lang w:val="en-GB" w:eastAsia="pl-PL"/>
        </w:rPr>
        <w:t>published</w:t>
      </w:r>
      <w:r w:rsidRPr="00D33DF7">
        <w:rPr>
          <w:rFonts w:ascii="Verdana" w:hAnsi="Verdana" w:cs="Arial"/>
          <w:bCs/>
          <w:color w:val="000000" w:themeColor="text1"/>
          <w:sz w:val="20"/>
          <w:szCs w:val="20"/>
          <w:lang w:val="en-GB" w:eastAsia="pl-PL"/>
        </w:rPr>
        <w:t xml:space="preserve"> a new </w:t>
      </w:r>
      <w:r w:rsidR="00D45652" w:rsidRPr="00D33DF7">
        <w:rPr>
          <w:rFonts w:ascii="Verdana" w:hAnsi="Verdana" w:cs="Arial"/>
          <w:bCs/>
          <w:color w:val="000000" w:themeColor="text1"/>
          <w:sz w:val="20"/>
          <w:szCs w:val="20"/>
          <w:lang w:val="en-GB" w:eastAsia="pl-PL"/>
        </w:rPr>
        <w:t>timeline</w:t>
      </w:r>
      <w:r w:rsidRPr="00D33DF7">
        <w:rPr>
          <w:rFonts w:ascii="Verdana" w:hAnsi="Verdana" w:cs="Arial"/>
          <w:bCs/>
          <w:color w:val="000000" w:themeColor="text1"/>
          <w:sz w:val="20"/>
          <w:szCs w:val="20"/>
          <w:lang w:val="en-GB" w:eastAsia="pl-PL"/>
        </w:rPr>
        <w:t xml:space="preserve"> for the </w:t>
      </w:r>
      <w:r w:rsidR="00D45652" w:rsidRPr="00D33DF7">
        <w:rPr>
          <w:rFonts w:ascii="Verdana" w:hAnsi="Verdana" w:cs="Arial"/>
          <w:bCs/>
          <w:color w:val="000000" w:themeColor="text1"/>
          <w:sz w:val="20"/>
          <w:szCs w:val="20"/>
          <w:lang w:val="en-GB" w:eastAsia="pl-PL"/>
        </w:rPr>
        <w:t>roll-out</w:t>
      </w:r>
      <w:r w:rsidRPr="00D33DF7">
        <w:rPr>
          <w:rFonts w:ascii="Verdana" w:hAnsi="Verdana" w:cs="Arial"/>
          <w:bCs/>
          <w:color w:val="000000" w:themeColor="text1"/>
          <w:sz w:val="20"/>
          <w:szCs w:val="20"/>
          <w:lang w:val="en-GB" w:eastAsia="pl-PL"/>
        </w:rPr>
        <w:t xml:space="preserve"> of the GPW WATS system. Work </w:t>
      </w:r>
      <w:r w:rsidR="00D45652" w:rsidRPr="00D33DF7">
        <w:rPr>
          <w:rFonts w:ascii="Verdana" w:hAnsi="Verdana" w:cs="Arial"/>
          <w:bCs/>
          <w:color w:val="000000" w:themeColor="text1"/>
          <w:sz w:val="20"/>
          <w:szCs w:val="20"/>
          <w:lang w:val="en-GB" w:eastAsia="pl-PL"/>
        </w:rPr>
        <w:t>i</w:t>
      </w:r>
      <w:r w:rsidRPr="00D33DF7">
        <w:rPr>
          <w:rFonts w:ascii="Verdana" w:hAnsi="Verdana" w:cs="Arial"/>
          <w:bCs/>
          <w:color w:val="000000" w:themeColor="text1"/>
          <w:sz w:val="20"/>
          <w:szCs w:val="20"/>
          <w:lang w:val="en-GB" w:eastAsia="pl-PL"/>
        </w:rPr>
        <w:t xml:space="preserve">n areas identified during </w:t>
      </w:r>
      <w:r w:rsidR="002654C3" w:rsidRPr="00D33DF7">
        <w:rPr>
          <w:rFonts w:ascii="Verdana" w:hAnsi="Verdana" w:cs="Arial"/>
          <w:bCs/>
          <w:color w:val="000000" w:themeColor="text1"/>
          <w:sz w:val="20"/>
          <w:szCs w:val="20"/>
          <w:lang w:val="en-GB" w:eastAsia="pl-PL"/>
        </w:rPr>
        <w:t>prior</w:t>
      </w:r>
      <w:r w:rsidRPr="00D33DF7">
        <w:rPr>
          <w:rFonts w:ascii="Verdana" w:hAnsi="Verdana" w:cs="Arial"/>
          <w:bCs/>
          <w:color w:val="000000" w:themeColor="text1"/>
          <w:sz w:val="20"/>
          <w:szCs w:val="20"/>
          <w:lang w:val="en-GB" w:eastAsia="pl-PL"/>
        </w:rPr>
        <w:t xml:space="preserve"> tests and </w:t>
      </w:r>
      <w:r w:rsidR="00D45652" w:rsidRPr="00D33DF7">
        <w:rPr>
          <w:rFonts w:ascii="Verdana" w:hAnsi="Verdana" w:cs="Arial"/>
          <w:bCs/>
          <w:color w:val="000000" w:themeColor="text1"/>
          <w:sz w:val="20"/>
          <w:szCs w:val="20"/>
          <w:lang w:val="en-GB" w:eastAsia="pl-PL"/>
        </w:rPr>
        <w:t>rehearsals</w:t>
      </w:r>
      <w:r w:rsidRPr="00D33DF7">
        <w:rPr>
          <w:rFonts w:ascii="Verdana" w:hAnsi="Verdana" w:cs="Arial"/>
          <w:bCs/>
          <w:color w:val="000000" w:themeColor="text1"/>
          <w:sz w:val="20"/>
          <w:szCs w:val="20"/>
          <w:lang w:val="en-GB" w:eastAsia="pl-PL"/>
        </w:rPr>
        <w:t xml:space="preserve">, including additional functionalities, will continue until February 2026. The </w:t>
      </w:r>
      <w:r w:rsidR="00D45652" w:rsidRPr="00D33DF7">
        <w:rPr>
          <w:rFonts w:ascii="Verdana" w:hAnsi="Verdana" w:cs="Arial"/>
          <w:bCs/>
          <w:color w:val="000000" w:themeColor="text1"/>
          <w:sz w:val="20"/>
          <w:szCs w:val="20"/>
          <w:lang w:val="en-GB" w:eastAsia="pl-PL"/>
        </w:rPr>
        <w:t xml:space="preserve">roll-out </w:t>
      </w:r>
      <w:r w:rsidRPr="00D33DF7">
        <w:rPr>
          <w:rFonts w:ascii="Verdana" w:hAnsi="Verdana" w:cs="Arial"/>
          <w:bCs/>
          <w:color w:val="000000" w:themeColor="text1"/>
          <w:sz w:val="20"/>
          <w:szCs w:val="20"/>
          <w:lang w:val="en-GB" w:eastAsia="pl-PL"/>
        </w:rPr>
        <w:t xml:space="preserve">date for GPW WATS will be set in consultation with market participants after the stable version of the system has been </w:t>
      </w:r>
      <w:r w:rsidRPr="00D33DF7">
        <w:rPr>
          <w:rFonts w:ascii="Verdana" w:hAnsi="Verdana" w:cs="Arial"/>
          <w:bCs/>
          <w:color w:val="000000" w:themeColor="text1"/>
          <w:sz w:val="20"/>
          <w:szCs w:val="20"/>
          <w:lang w:val="en-GB" w:eastAsia="pl-PL"/>
        </w:rPr>
        <w:lastRenderedPageBreak/>
        <w:t xml:space="preserve">finalised. GPW WATS remains a strategic project </w:t>
      </w:r>
      <w:r w:rsidR="00D45652" w:rsidRPr="00D33DF7">
        <w:rPr>
          <w:rFonts w:ascii="Verdana" w:hAnsi="Verdana" w:cs="Arial"/>
          <w:bCs/>
          <w:color w:val="000000" w:themeColor="text1"/>
          <w:sz w:val="20"/>
          <w:szCs w:val="20"/>
          <w:lang w:val="en-GB" w:eastAsia="pl-PL"/>
        </w:rPr>
        <w:t>and</w:t>
      </w:r>
      <w:r w:rsidRPr="00D33DF7">
        <w:rPr>
          <w:rFonts w:ascii="Verdana" w:hAnsi="Verdana" w:cs="Arial"/>
          <w:bCs/>
          <w:color w:val="000000" w:themeColor="text1"/>
          <w:sz w:val="20"/>
          <w:szCs w:val="20"/>
          <w:lang w:val="en-GB" w:eastAsia="pl-PL"/>
        </w:rPr>
        <w:t xml:space="preserve"> will provide a reliable scalable platform to support market development in the long term.</w:t>
      </w:r>
    </w:p>
    <w:p w14:paraId="6D893F4F" w14:textId="77777777" w:rsidR="00E42A71" w:rsidRPr="00D33DF7" w:rsidRDefault="00E42A71" w:rsidP="00E42A71">
      <w:pPr>
        <w:spacing w:after="0"/>
        <w:jc w:val="both"/>
        <w:rPr>
          <w:rFonts w:ascii="Verdana" w:hAnsi="Verdana" w:cs="Arial"/>
          <w:bCs/>
          <w:color w:val="000000" w:themeColor="text1"/>
          <w:sz w:val="20"/>
          <w:szCs w:val="20"/>
          <w:lang w:val="en-GB" w:eastAsia="pl-PL"/>
        </w:rPr>
      </w:pPr>
    </w:p>
    <w:p w14:paraId="4CB3C781" w14:textId="066A08D6"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In implementing the Group</w:t>
      </w:r>
      <w:r w:rsidR="00D45652" w:rsidRPr="00D33DF7">
        <w:rPr>
          <w:rFonts w:ascii="Verdana" w:hAnsi="Verdana" w:cs="Arial"/>
          <w:bCs/>
          <w:color w:val="000000" w:themeColor="text1"/>
          <w:sz w:val="20"/>
          <w:szCs w:val="20"/>
          <w:lang w:val="en-GB" w:eastAsia="pl-PL"/>
        </w:rPr>
        <w:t>’</w:t>
      </w:r>
      <w:r w:rsidRPr="00D33DF7">
        <w:rPr>
          <w:rFonts w:ascii="Verdana" w:hAnsi="Verdana" w:cs="Arial"/>
          <w:bCs/>
          <w:color w:val="000000" w:themeColor="text1"/>
          <w:sz w:val="20"/>
          <w:szCs w:val="20"/>
          <w:lang w:val="en-GB" w:eastAsia="pl-PL"/>
        </w:rPr>
        <w:t xml:space="preserve">s Strategy for 2025–2027, </w:t>
      </w:r>
      <w:r w:rsidR="00D45652" w:rsidRPr="00D33DF7">
        <w:rPr>
          <w:rFonts w:ascii="Verdana" w:hAnsi="Verdana" w:cs="Arial"/>
          <w:bCs/>
          <w:color w:val="000000" w:themeColor="text1"/>
          <w:sz w:val="20"/>
          <w:szCs w:val="20"/>
          <w:lang w:val="en-GB" w:eastAsia="pl-PL"/>
        </w:rPr>
        <w:t>GPW</w:t>
      </w:r>
      <w:r w:rsidRPr="00D33DF7">
        <w:rPr>
          <w:rFonts w:ascii="Verdana" w:hAnsi="Verdana" w:cs="Arial"/>
          <w:bCs/>
          <w:color w:val="000000" w:themeColor="text1"/>
          <w:sz w:val="20"/>
          <w:szCs w:val="20"/>
          <w:lang w:val="en-GB" w:eastAsia="pl-PL"/>
        </w:rPr>
        <w:t xml:space="preserve"> is reorganising the structure of its projects, focusing on activities related to the capital market. A review of </w:t>
      </w:r>
      <w:r w:rsidR="00DD435B" w:rsidRPr="00D33DF7">
        <w:rPr>
          <w:rFonts w:ascii="Verdana" w:hAnsi="Verdana" w:cs="Arial"/>
          <w:bCs/>
          <w:color w:val="000000" w:themeColor="text1"/>
          <w:sz w:val="20"/>
          <w:szCs w:val="20"/>
          <w:lang w:val="en-GB" w:eastAsia="pl-PL"/>
        </w:rPr>
        <w:t xml:space="preserve">non-core </w:t>
      </w:r>
      <w:r w:rsidRPr="00D33DF7">
        <w:rPr>
          <w:rFonts w:ascii="Verdana" w:hAnsi="Verdana" w:cs="Arial"/>
          <w:bCs/>
          <w:color w:val="000000" w:themeColor="text1"/>
          <w:sz w:val="20"/>
          <w:szCs w:val="20"/>
          <w:lang w:val="en-GB" w:eastAsia="pl-PL"/>
        </w:rPr>
        <w:t xml:space="preserve">projects </w:t>
      </w:r>
      <w:r w:rsidR="00DD435B" w:rsidRPr="00D33DF7">
        <w:rPr>
          <w:rFonts w:ascii="Verdana" w:hAnsi="Verdana" w:cs="Arial"/>
          <w:bCs/>
          <w:color w:val="000000" w:themeColor="text1"/>
          <w:sz w:val="20"/>
          <w:szCs w:val="20"/>
          <w:lang w:val="en-GB" w:eastAsia="pl-PL"/>
        </w:rPr>
        <w:t>has</w:t>
      </w:r>
      <w:r w:rsidRPr="00D33DF7">
        <w:rPr>
          <w:rFonts w:ascii="Verdana" w:hAnsi="Verdana" w:cs="Arial"/>
          <w:bCs/>
          <w:color w:val="000000" w:themeColor="text1"/>
          <w:sz w:val="20"/>
          <w:szCs w:val="20"/>
          <w:lang w:val="en-GB" w:eastAsia="pl-PL"/>
        </w:rPr>
        <w:t xml:space="preserve"> </w:t>
      </w:r>
      <w:r w:rsidR="00DD435B" w:rsidRPr="00D33DF7">
        <w:rPr>
          <w:rFonts w:ascii="Verdana" w:hAnsi="Verdana" w:cs="Arial"/>
          <w:bCs/>
          <w:color w:val="000000" w:themeColor="text1"/>
          <w:sz w:val="20"/>
          <w:szCs w:val="20"/>
          <w:lang w:val="en-GB" w:eastAsia="pl-PL"/>
        </w:rPr>
        <w:t>identified</w:t>
      </w:r>
      <w:r w:rsidRPr="00D33DF7">
        <w:rPr>
          <w:rFonts w:ascii="Verdana" w:hAnsi="Verdana" w:cs="Arial"/>
          <w:bCs/>
          <w:color w:val="000000" w:themeColor="text1"/>
          <w:sz w:val="20"/>
          <w:szCs w:val="20"/>
          <w:lang w:val="en-GB" w:eastAsia="pl-PL"/>
        </w:rPr>
        <w:t xml:space="preserve"> limited potential for their further commercialisation, </w:t>
      </w:r>
      <w:r w:rsidR="00DD435B" w:rsidRPr="00D33DF7">
        <w:rPr>
          <w:rFonts w:ascii="Verdana" w:hAnsi="Verdana" w:cs="Arial"/>
          <w:bCs/>
          <w:color w:val="000000" w:themeColor="text1"/>
          <w:sz w:val="20"/>
          <w:szCs w:val="20"/>
          <w:lang w:val="en-GB" w:eastAsia="pl-PL"/>
        </w:rPr>
        <w:t>resulting in</w:t>
      </w:r>
      <w:r w:rsidRPr="00D33DF7">
        <w:rPr>
          <w:rFonts w:ascii="Verdana" w:hAnsi="Verdana" w:cs="Arial"/>
          <w:bCs/>
          <w:color w:val="000000" w:themeColor="text1"/>
          <w:sz w:val="20"/>
          <w:szCs w:val="20"/>
          <w:lang w:val="en-GB" w:eastAsia="pl-PL"/>
        </w:rPr>
        <w:t xml:space="preserve"> the recognition of write-offs totalling PLN 35.7 million in 2024. </w:t>
      </w:r>
      <w:r w:rsidR="00DD435B" w:rsidRPr="00D33DF7">
        <w:rPr>
          <w:rFonts w:ascii="Verdana" w:hAnsi="Verdana" w:cs="Arial"/>
          <w:bCs/>
          <w:color w:val="000000" w:themeColor="text1"/>
          <w:sz w:val="20"/>
          <w:szCs w:val="20"/>
          <w:lang w:val="en-GB" w:eastAsia="pl-PL"/>
        </w:rPr>
        <w:t>According to</w:t>
      </w:r>
      <w:r w:rsidRPr="00D33DF7">
        <w:rPr>
          <w:rFonts w:ascii="Verdana" w:hAnsi="Verdana" w:cs="Arial"/>
          <w:bCs/>
          <w:color w:val="000000" w:themeColor="text1"/>
          <w:sz w:val="20"/>
          <w:szCs w:val="20"/>
          <w:lang w:val="en-GB" w:eastAsia="pl-PL"/>
        </w:rPr>
        <w:t xml:space="preserve"> the Management Board, some of the assets are currently unable to generate future economic benefits that would justify their previous valuation.</w:t>
      </w:r>
    </w:p>
    <w:p w14:paraId="04982DD9" w14:textId="77777777" w:rsidR="00E42A71" w:rsidRPr="00D33DF7" w:rsidRDefault="00E42A71" w:rsidP="00995FC0">
      <w:pPr>
        <w:spacing w:after="0"/>
        <w:jc w:val="both"/>
        <w:rPr>
          <w:rFonts w:ascii="Verdana" w:hAnsi="Verdana" w:cs="Arial"/>
          <w:bCs/>
          <w:color w:val="000000" w:themeColor="text1"/>
          <w:sz w:val="20"/>
          <w:szCs w:val="20"/>
          <w:lang w:val="en-GB" w:eastAsia="pl-PL"/>
        </w:rPr>
      </w:pPr>
    </w:p>
    <w:p w14:paraId="430E0CA7" w14:textId="1F9F81B1" w:rsidR="000A5166" w:rsidRPr="00D33DF7" w:rsidRDefault="00DD435B"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w:t>
      </w:r>
      <w:r w:rsidR="000A5166" w:rsidRPr="00D33DF7">
        <w:rPr>
          <w:rFonts w:ascii="Verdana" w:hAnsi="Verdana" w:cs="Arial"/>
          <w:bCs/>
          <w:i/>
          <w:iCs/>
          <w:color w:val="000000" w:themeColor="text1"/>
          <w:sz w:val="20"/>
          <w:szCs w:val="20"/>
          <w:lang w:val="en-GB" w:eastAsia="pl-PL"/>
        </w:rPr>
        <w:t xml:space="preserve">Our strategy is to focus on the development of the capital market and build value for shareholders and stakeholders. We will continue to take proactive measures to develop the capital market in </w:t>
      </w:r>
      <w:r w:rsidR="003D6D67" w:rsidRPr="00D33DF7">
        <w:rPr>
          <w:rFonts w:ascii="Verdana" w:hAnsi="Verdana" w:cs="Arial"/>
          <w:bCs/>
          <w:i/>
          <w:iCs/>
          <w:color w:val="000000" w:themeColor="text1"/>
          <w:sz w:val="20"/>
          <w:szCs w:val="20"/>
          <w:lang w:val="en-GB" w:eastAsia="pl-PL"/>
        </w:rPr>
        <w:t>partnership</w:t>
      </w:r>
      <w:r w:rsidR="000A5166" w:rsidRPr="00D33DF7">
        <w:rPr>
          <w:rFonts w:ascii="Verdana" w:hAnsi="Verdana" w:cs="Arial"/>
          <w:bCs/>
          <w:i/>
          <w:iCs/>
          <w:color w:val="000000" w:themeColor="text1"/>
          <w:sz w:val="20"/>
          <w:szCs w:val="20"/>
          <w:lang w:val="en-GB" w:eastAsia="pl-PL"/>
        </w:rPr>
        <w:t xml:space="preserve"> with its participants. We are only at the beginning of our journey, but we are </w:t>
      </w:r>
      <w:r w:rsidR="00A274A2" w:rsidRPr="00D33DF7">
        <w:rPr>
          <w:rFonts w:ascii="Verdana" w:hAnsi="Verdana" w:cs="Arial"/>
          <w:bCs/>
          <w:i/>
          <w:iCs/>
          <w:color w:val="000000" w:themeColor="text1"/>
          <w:sz w:val="20"/>
          <w:szCs w:val="20"/>
          <w:lang w:val="en-GB" w:eastAsia="pl-PL"/>
        </w:rPr>
        <w:t>proud</w:t>
      </w:r>
      <w:r w:rsidR="000A5166" w:rsidRPr="00D33DF7">
        <w:rPr>
          <w:rFonts w:ascii="Verdana" w:hAnsi="Verdana" w:cs="Arial"/>
          <w:bCs/>
          <w:i/>
          <w:iCs/>
          <w:color w:val="000000" w:themeColor="text1"/>
          <w:sz w:val="20"/>
          <w:szCs w:val="20"/>
          <w:lang w:val="en-GB" w:eastAsia="pl-PL"/>
        </w:rPr>
        <w:t xml:space="preserve"> that our joint efforts are appreciated by investors and shareholders, </w:t>
      </w:r>
      <w:r w:rsidR="00AD3E5F" w:rsidRPr="00D33DF7">
        <w:rPr>
          <w:rFonts w:ascii="Verdana" w:hAnsi="Verdana" w:cs="Arial"/>
          <w:bCs/>
          <w:i/>
          <w:iCs/>
          <w:color w:val="000000" w:themeColor="text1"/>
          <w:sz w:val="20"/>
          <w:szCs w:val="20"/>
          <w:lang w:val="en-GB" w:eastAsia="pl-PL"/>
        </w:rPr>
        <w:t>as</w:t>
      </w:r>
      <w:r w:rsidR="000A5166" w:rsidRPr="00D33DF7">
        <w:rPr>
          <w:rFonts w:ascii="Verdana" w:hAnsi="Verdana" w:cs="Arial"/>
          <w:bCs/>
          <w:i/>
          <w:iCs/>
          <w:color w:val="000000" w:themeColor="text1"/>
          <w:sz w:val="20"/>
          <w:szCs w:val="20"/>
          <w:lang w:val="en-GB" w:eastAsia="pl-PL"/>
        </w:rPr>
        <w:t xml:space="preserve"> reflected in the record</w:t>
      </w:r>
      <w:r w:rsidR="00AD3E5F" w:rsidRPr="00D33DF7">
        <w:rPr>
          <w:rFonts w:ascii="Verdana" w:hAnsi="Verdana" w:cs="Arial"/>
          <w:bCs/>
          <w:i/>
          <w:iCs/>
          <w:color w:val="000000" w:themeColor="text1"/>
          <w:sz w:val="20"/>
          <w:szCs w:val="20"/>
          <w:lang w:val="en-GB" w:eastAsia="pl-PL"/>
        </w:rPr>
        <w:t>-high GPW</w:t>
      </w:r>
      <w:r w:rsidR="000A5166" w:rsidRPr="00D33DF7">
        <w:rPr>
          <w:rFonts w:ascii="Verdana" w:hAnsi="Verdana" w:cs="Arial"/>
          <w:bCs/>
          <w:i/>
          <w:iCs/>
          <w:color w:val="000000" w:themeColor="text1"/>
          <w:sz w:val="20"/>
          <w:szCs w:val="20"/>
          <w:lang w:val="en-GB" w:eastAsia="pl-PL"/>
        </w:rPr>
        <w:t xml:space="preserve"> share price,</w:t>
      </w:r>
      <w:r w:rsidR="00AD3E5F" w:rsidRPr="00D33DF7">
        <w:rPr>
          <w:rFonts w:ascii="Verdana" w:hAnsi="Verdana" w:cs="Arial"/>
          <w:bCs/>
          <w:color w:val="000000" w:themeColor="text1"/>
          <w:sz w:val="20"/>
          <w:szCs w:val="20"/>
          <w:lang w:val="en-GB" w:eastAsia="pl-PL"/>
        </w:rPr>
        <w:t>”</w:t>
      </w:r>
      <w:r w:rsidR="000A5166" w:rsidRPr="00D33DF7">
        <w:rPr>
          <w:rFonts w:ascii="Verdana" w:hAnsi="Verdana" w:cs="Arial"/>
          <w:bCs/>
          <w:color w:val="000000" w:themeColor="text1"/>
          <w:sz w:val="20"/>
          <w:szCs w:val="20"/>
          <w:lang w:val="en-GB" w:eastAsia="pl-PL"/>
        </w:rPr>
        <w:t xml:space="preserve"> </w:t>
      </w:r>
      <w:r w:rsidR="00AD3E5F" w:rsidRPr="00D33DF7">
        <w:rPr>
          <w:rFonts w:ascii="Verdana" w:hAnsi="Verdana" w:cs="Arial"/>
          <w:bCs/>
          <w:color w:val="000000" w:themeColor="text1"/>
          <w:sz w:val="20"/>
          <w:szCs w:val="20"/>
          <w:lang w:val="en-GB" w:eastAsia="pl-PL"/>
        </w:rPr>
        <w:t>said</w:t>
      </w:r>
      <w:r w:rsidR="000A5166" w:rsidRPr="00D33DF7">
        <w:rPr>
          <w:rFonts w:ascii="Verdana" w:hAnsi="Verdana" w:cs="Arial"/>
          <w:bCs/>
          <w:color w:val="000000" w:themeColor="text1"/>
          <w:sz w:val="20"/>
          <w:szCs w:val="20"/>
          <w:lang w:val="en-GB" w:eastAsia="pl-PL"/>
        </w:rPr>
        <w:t xml:space="preserve"> </w:t>
      </w:r>
      <w:r w:rsidR="00AD3E5F" w:rsidRPr="00D33DF7">
        <w:rPr>
          <w:rFonts w:ascii="Verdana" w:hAnsi="Verdana" w:cs="Arial"/>
          <w:bCs/>
          <w:color w:val="000000" w:themeColor="text1"/>
          <w:sz w:val="20"/>
          <w:szCs w:val="20"/>
          <w:lang w:val="en-GB" w:eastAsia="pl-PL"/>
        </w:rPr>
        <w:t>CEO</w:t>
      </w:r>
      <w:r w:rsidR="000A5166" w:rsidRPr="00D33DF7">
        <w:rPr>
          <w:rFonts w:ascii="Verdana" w:hAnsi="Verdana" w:cs="Arial"/>
          <w:bCs/>
          <w:color w:val="000000" w:themeColor="text1"/>
          <w:sz w:val="20"/>
          <w:szCs w:val="20"/>
          <w:lang w:val="en-GB" w:eastAsia="pl-PL"/>
        </w:rPr>
        <w:t xml:space="preserve"> Tomasz Bardziłowski.</w:t>
      </w:r>
    </w:p>
    <w:p w14:paraId="7A7748D7" w14:textId="77777777" w:rsidR="00E42A71" w:rsidRPr="00D33DF7" w:rsidRDefault="00E42A71" w:rsidP="00E42A71">
      <w:pPr>
        <w:spacing w:after="0"/>
        <w:jc w:val="both"/>
        <w:rPr>
          <w:rFonts w:ascii="Verdana" w:hAnsi="Verdana" w:cs="Arial"/>
          <w:bCs/>
          <w:color w:val="000000" w:themeColor="text1"/>
          <w:sz w:val="20"/>
          <w:szCs w:val="20"/>
          <w:lang w:val="en-GB" w:eastAsia="pl-PL"/>
        </w:rPr>
      </w:pPr>
    </w:p>
    <w:p w14:paraId="293E28DA" w14:textId="799A3990" w:rsidR="000A5166" w:rsidRPr="00D33DF7" w:rsidRDefault="000A5166" w:rsidP="000A5166">
      <w:pPr>
        <w:spacing w:after="0"/>
        <w:jc w:val="both"/>
        <w:rPr>
          <w:rFonts w:ascii="Verdana" w:hAnsi="Verdana" w:cs="Arial"/>
          <w:bCs/>
          <w:color w:val="000000" w:themeColor="text1"/>
          <w:sz w:val="20"/>
          <w:szCs w:val="20"/>
          <w:lang w:val="en-GB" w:eastAsia="pl-PL"/>
        </w:rPr>
      </w:pPr>
      <w:r w:rsidRPr="00D33DF7">
        <w:rPr>
          <w:rFonts w:ascii="Verdana" w:hAnsi="Verdana" w:cs="Arial"/>
          <w:bCs/>
          <w:color w:val="000000" w:themeColor="text1"/>
          <w:sz w:val="20"/>
          <w:szCs w:val="20"/>
          <w:lang w:val="en-GB" w:eastAsia="pl-PL"/>
        </w:rPr>
        <w:t xml:space="preserve">9 November 2025 marked 15 years of </w:t>
      </w:r>
      <w:r w:rsidR="00AD3E5F" w:rsidRPr="00D33DF7">
        <w:rPr>
          <w:rFonts w:ascii="Verdana" w:hAnsi="Verdana" w:cs="Arial"/>
          <w:bCs/>
          <w:color w:val="000000" w:themeColor="text1"/>
          <w:sz w:val="20"/>
          <w:szCs w:val="20"/>
          <w:lang w:val="en-GB" w:eastAsia="pl-PL"/>
        </w:rPr>
        <w:t>GPW’s</w:t>
      </w:r>
      <w:r w:rsidRPr="00D33DF7">
        <w:rPr>
          <w:rFonts w:ascii="Verdana" w:hAnsi="Verdana" w:cs="Arial"/>
          <w:bCs/>
          <w:color w:val="000000" w:themeColor="text1"/>
          <w:sz w:val="20"/>
          <w:szCs w:val="20"/>
          <w:lang w:val="en-GB" w:eastAsia="pl-PL"/>
        </w:rPr>
        <w:t xml:space="preserve"> </w:t>
      </w:r>
      <w:r w:rsidR="00AD3E5F" w:rsidRPr="00D33DF7">
        <w:rPr>
          <w:rFonts w:ascii="Verdana" w:hAnsi="Verdana" w:cs="Arial"/>
          <w:bCs/>
          <w:color w:val="000000" w:themeColor="text1"/>
          <w:sz w:val="20"/>
          <w:szCs w:val="20"/>
          <w:lang w:val="en-GB" w:eastAsia="pl-PL"/>
        </w:rPr>
        <w:t>listing</w:t>
      </w:r>
      <w:r w:rsidRPr="00D33DF7">
        <w:rPr>
          <w:rFonts w:ascii="Verdana" w:hAnsi="Verdana" w:cs="Arial"/>
          <w:bCs/>
          <w:color w:val="000000" w:themeColor="text1"/>
          <w:sz w:val="20"/>
          <w:szCs w:val="20"/>
          <w:lang w:val="en-GB" w:eastAsia="pl-PL"/>
        </w:rPr>
        <w:t xml:space="preserve"> on </w:t>
      </w:r>
      <w:r w:rsidR="00AD3E5F" w:rsidRPr="00D33DF7">
        <w:rPr>
          <w:rFonts w:ascii="Verdana" w:hAnsi="Verdana" w:cs="Arial"/>
          <w:bCs/>
          <w:color w:val="000000" w:themeColor="text1"/>
          <w:sz w:val="20"/>
          <w:szCs w:val="20"/>
          <w:lang w:val="en-GB" w:eastAsia="pl-PL"/>
        </w:rPr>
        <w:t>the GPW</w:t>
      </w:r>
      <w:r w:rsidRPr="00D33DF7">
        <w:rPr>
          <w:rFonts w:ascii="Verdana" w:hAnsi="Verdana" w:cs="Arial"/>
          <w:bCs/>
          <w:color w:val="000000" w:themeColor="text1"/>
          <w:sz w:val="20"/>
          <w:szCs w:val="20"/>
          <w:lang w:val="en-GB" w:eastAsia="pl-PL"/>
        </w:rPr>
        <w:t xml:space="preserve"> trading floor. Since its </w:t>
      </w:r>
      <w:r w:rsidR="00AD3E5F" w:rsidRPr="00D33DF7">
        <w:rPr>
          <w:rFonts w:ascii="Verdana" w:hAnsi="Verdana" w:cs="Arial"/>
          <w:bCs/>
          <w:color w:val="000000" w:themeColor="text1"/>
          <w:sz w:val="20"/>
          <w:szCs w:val="20"/>
          <w:lang w:val="en-GB" w:eastAsia="pl-PL"/>
        </w:rPr>
        <w:t>floatation</w:t>
      </w:r>
      <w:r w:rsidRPr="00D33DF7">
        <w:rPr>
          <w:rFonts w:ascii="Verdana" w:hAnsi="Verdana" w:cs="Arial"/>
          <w:bCs/>
          <w:color w:val="000000" w:themeColor="text1"/>
          <w:sz w:val="20"/>
          <w:szCs w:val="20"/>
          <w:lang w:val="en-GB" w:eastAsia="pl-PL"/>
        </w:rPr>
        <w:t xml:space="preserve"> in 2010, </w:t>
      </w:r>
      <w:r w:rsidR="00AD3E5F" w:rsidRPr="00D33DF7">
        <w:rPr>
          <w:rFonts w:ascii="Verdana" w:hAnsi="Verdana" w:cs="Arial"/>
          <w:bCs/>
          <w:color w:val="000000" w:themeColor="text1"/>
          <w:sz w:val="20"/>
          <w:szCs w:val="20"/>
          <w:lang w:val="en-GB" w:eastAsia="pl-PL"/>
        </w:rPr>
        <w:t>GPW</w:t>
      </w:r>
      <w:r w:rsidRPr="00D33DF7">
        <w:rPr>
          <w:rFonts w:ascii="Verdana" w:hAnsi="Verdana" w:cs="Arial"/>
          <w:bCs/>
          <w:color w:val="000000" w:themeColor="text1"/>
          <w:sz w:val="20"/>
          <w:szCs w:val="20"/>
          <w:lang w:val="en-GB" w:eastAsia="pl-PL"/>
        </w:rPr>
        <w:t xml:space="preserve"> has more than doubled its revenue and profit, expanded its operations to include the Commodity Market, and increased its </w:t>
      </w:r>
      <w:r w:rsidR="00AD3E5F" w:rsidRPr="00D33DF7">
        <w:rPr>
          <w:rFonts w:ascii="Verdana" w:hAnsi="Verdana" w:cs="Arial"/>
          <w:bCs/>
          <w:color w:val="000000" w:themeColor="text1"/>
          <w:sz w:val="20"/>
          <w:szCs w:val="20"/>
          <w:lang w:val="en-GB" w:eastAsia="pl-PL"/>
        </w:rPr>
        <w:t>equity</w:t>
      </w:r>
      <w:r w:rsidRPr="00D33DF7">
        <w:rPr>
          <w:rFonts w:ascii="Verdana" w:hAnsi="Verdana" w:cs="Arial"/>
          <w:bCs/>
          <w:color w:val="000000" w:themeColor="text1"/>
          <w:sz w:val="20"/>
          <w:szCs w:val="20"/>
          <w:lang w:val="en-GB" w:eastAsia="pl-PL"/>
        </w:rPr>
        <w:t xml:space="preserve"> turnover by 80%. During this period, shareholders </w:t>
      </w:r>
      <w:r w:rsidR="00AD3E5F" w:rsidRPr="00D33DF7">
        <w:rPr>
          <w:rFonts w:ascii="Verdana" w:hAnsi="Verdana" w:cs="Arial"/>
          <w:bCs/>
          <w:color w:val="000000" w:themeColor="text1"/>
          <w:sz w:val="20"/>
          <w:szCs w:val="20"/>
          <w:lang w:val="en-GB" w:eastAsia="pl-PL"/>
        </w:rPr>
        <w:t>have been paid</w:t>
      </w:r>
      <w:r w:rsidRPr="00D33DF7">
        <w:rPr>
          <w:rFonts w:ascii="Verdana" w:hAnsi="Verdana" w:cs="Arial"/>
          <w:bCs/>
          <w:color w:val="000000" w:themeColor="text1"/>
          <w:sz w:val="20"/>
          <w:szCs w:val="20"/>
          <w:lang w:val="en-GB" w:eastAsia="pl-PL"/>
        </w:rPr>
        <w:t xml:space="preserve"> a total of PLN 1.4 billion in dividends, and the total rate of return </w:t>
      </w:r>
      <w:r w:rsidR="00D33DF7" w:rsidRPr="00D33DF7">
        <w:rPr>
          <w:rFonts w:ascii="Verdana" w:hAnsi="Verdana" w:cs="Arial"/>
          <w:bCs/>
          <w:color w:val="000000" w:themeColor="text1"/>
          <w:sz w:val="20"/>
          <w:szCs w:val="20"/>
          <w:lang w:val="en-GB" w:eastAsia="pl-PL"/>
        </w:rPr>
        <w:t>including</w:t>
      </w:r>
      <w:r w:rsidRPr="00D33DF7">
        <w:rPr>
          <w:rFonts w:ascii="Verdana" w:hAnsi="Verdana" w:cs="Arial"/>
          <w:bCs/>
          <w:color w:val="000000" w:themeColor="text1"/>
          <w:sz w:val="20"/>
          <w:szCs w:val="20"/>
          <w:lang w:val="en-GB" w:eastAsia="pl-PL"/>
        </w:rPr>
        <w:t xml:space="preserve"> reinvestment of dividends in GPW shares reached an impressive 221%. On 4 November 2025, GPW shares closed at a record high of PLN 62.9.</w:t>
      </w:r>
    </w:p>
    <w:p w14:paraId="0DED769E" w14:textId="77777777" w:rsidR="00620213" w:rsidRPr="00D33DF7" w:rsidRDefault="00620213" w:rsidP="00620213">
      <w:pPr>
        <w:spacing w:after="0"/>
        <w:jc w:val="both"/>
        <w:rPr>
          <w:rFonts w:ascii="Verdana" w:hAnsi="Verdana" w:cs="Arial"/>
          <w:bCs/>
          <w:color w:val="000000" w:themeColor="text1"/>
          <w:sz w:val="20"/>
          <w:szCs w:val="20"/>
          <w:lang w:val="en-GB" w:eastAsia="pl-PL"/>
        </w:rPr>
      </w:pPr>
    </w:p>
    <w:p w14:paraId="3960B51A" w14:textId="77777777" w:rsidR="004B5E1A" w:rsidRPr="00D33DF7" w:rsidRDefault="004B5E1A" w:rsidP="00102D94">
      <w:pPr>
        <w:spacing w:after="0"/>
        <w:jc w:val="both"/>
        <w:rPr>
          <w:rFonts w:ascii="Verdana" w:hAnsi="Verdana" w:cs="Arial"/>
          <w:bCs/>
          <w:color w:val="000000" w:themeColor="text1"/>
          <w:sz w:val="20"/>
          <w:szCs w:val="20"/>
          <w:lang w:val="en-GB" w:eastAsia="pl-PL"/>
        </w:rPr>
      </w:pPr>
    </w:p>
    <w:p w14:paraId="2539D560" w14:textId="1D5B2E76" w:rsidR="00544BF0" w:rsidRPr="00D33DF7" w:rsidRDefault="00055BB4" w:rsidP="005929CD">
      <w:pPr>
        <w:spacing w:after="0" w:line="22" w:lineRule="atLeast"/>
        <w:jc w:val="center"/>
        <w:rPr>
          <w:rFonts w:ascii="Verdana" w:hAnsi="Verdana" w:cs="Arial"/>
          <w:sz w:val="14"/>
          <w:szCs w:val="14"/>
          <w:lang w:val="en-GB"/>
        </w:rPr>
      </w:pPr>
      <w:r w:rsidRPr="00D33DF7">
        <w:rPr>
          <w:rFonts w:ascii="Verdana" w:hAnsi="Verdana" w:cs="Arial"/>
          <w:sz w:val="14"/>
          <w:szCs w:val="14"/>
          <w:lang w:val="en-GB"/>
        </w:rPr>
        <w:t>***</w:t>
      </w:r>
    </w:p>
    <w:p w14:paraId="3A746912" w14:textId="77777777" w:rsidR="000961F7" w:rsidRPr="00D33DF7" w:rsidRDefault="000961F7" w:rsidP="00200EC3">
      <w:pPr>
        <w:spacing w:after="0" w:line="22" w:lineRule="atLeast"/>
        <w:jc w:val="center"/>
        <w:rPr>
          <w:rFonts w:ascii="Verdana" w:hAnsi="Verdana" w:cs="Arial"/>
          <w:sz w:val="16"/>
          <w:szCs w:val="16"/>
          <w:lang w:val="en-GB"/>
        </w:rPr>
      </w:pPr>
    </w:p>
    <w:p w14:paraId="14BDC1C0" w14:textId="77777777" w:rsidR="00913439" w:rsidRPr="00D33DF7" w:rsidRDefault="00913439" w:rsidP="00200EC3">
      <w:pPr>
        <w:spacing w:after="0" w:line="22" w:lineRule="atLeast"/>
        <w:jc w:val="both"/>
        <w:rPr>
          <w:rFonts w:ascii="Arial" w:eastAsia="Calibri" w:hAnsi="Arial" w:cs="Arial"/>
          <w:b/>
          <w:color w:val="666666"/>
          <w:sz w:val="14"/>
          <w:szCs w:val="16"/>
          <w:lang w:val="en-GB" w:eastAsia="pl-PL"/>
        </w:rPr>
      </w:pPr>
    </w:p>
    <w:p w14:paraId="6A0DC46F" w14:textId="7612E018" w:rsidR="001C0347" w:rsidRPr="00D33DF7" w:rsidRDefault="00C605D4" w:rsidP="00200EC3">
      <w:pPr>
        <w:spacing w:after="0" w:line="22" w:lineRule="atLeast"/>
        <w:jc w:val="both"/>
        <w:rPr>
          <w:rFonts w:ascii="Arial" w:eastAsia="Calibri" w:hAnsi="Arial" w:cs="Arial"/>
          <w:bCs/>
          <w:color w:val="666666"/>
          <w:sz w:val="14"/>
          <w:szCs w:val="16"/>
          <w:lang w:val="en-GB" w:eastAsia="pl-PL"/>
        </w:rPr>
      </w:pPr>
      <w:r w:rsidRPr="00D33DF7">
        <w:rPr>
          <w:rFonts w:ascii="Arial" w:eastAsia="Calibri" w:hAnsi="Arial" w:cs="Arial"/>
          <w:b/>
          <w:color w:val="666666"/>
          <w:sz w:val="14"/>
          <w:szCs w:val="16"/>
          <w:lang w:val="en-GB" w:eastAsia="pl-PL"/>
        </w:rPr>
        <w:t xml:space="preserve">The Warsaw Stock Exchange Group (GPW Group) </w:t>
      </w:r>
      <w:r w:rsidRPr="00D33DF7">
        <w:rPr>
          <w:rFonts w:ascii="Arial" w:eastAsia="Calibri" w:hAnsi="Arial" w:cs="Arial"/>
          <w:bCs/>
          <w:color w:val="666666"/>
          <w:sz w:val="14"/>
          <w:szCs w:val="16"/>
          <w:lang w:val="en-GB" w:eastAsia="pl-PL"/>
        </w:rPr>
        <w:t>is a leading operator of capital and commodity market infrastructure in Central and Eastern Europe. The Group includes the Warsaw Stock Exchange (GPW), Towarowa Giełda Energii (TGE), GPW Benchmark, BondSpot, and other companies. GPW operates regulated markets for equities, debt, derivatives, commodities, as well as the alternative trading system NewConnect. GPW offers services including trading, clearing, market data, indices and benchmarks. GPW is a public company listed on the Warsaw Stock Exchange since 2010. Its mission is to support the development of the economy, ensure efficient and secure access to capital, and promote long-term investment. In 2025, the main indices of the Warsaw Stock Exchange have ranked among the best performing indices globally, gaining more than 3</w:t>
      </w:r>
      <w:r w:rsidR="00790114" w:rsidRPr="00D33DF7">
        <w:rPr>
          <w:rFonts w:ascii="Arial" w:eastAsia="Calibri" w:hAnsi="Arial" w:cs="Arial"/>
          <w:bCs/>
          <w:color w:val="666666"/>
          <w:sz w:val="14"/>
          <w:szCs w:val="16"/>
          <w:lang w:val="en-GB" w:eastAsia="pl-PL"/>
        </w:rPr>
        <w:t>5</w:t>
      </w:r>
      <w:r w:rsidRPr="00D33DF7">
        <w:rPr>
          <w:rFonts w:ascii="Arial" w:eastAsia="Calibri" w:hAnsi="Arial" w:cs="Arial"/>
          <w:bCs/>
          <w:color w:val="666666"/>
          <w:sz w:val="14"/>
          <w:szCs w:val="16"/>
          <w:lang w:val="en-GB" w:eastAsia="pl-PL"/>
        </w:rPr>
        <w:t>% year to date. For more information, visit</w:t>
      </w:r>
      <w:r w:rsidR="00AA4454" w:rsidRPr="00D33DF7">
        <w:rPr>
          <w:rFonts w:ascii="Arial" w:eastAsia="Calibri" w:hAnsi="Arial" w:cs="Arial"/>
          <w:bCs/>
          <w:color w:val="666666"/>
          <w:sz w:val="14"/>
          <w:szCs w:val="16"/>
          <w:lang w:val="en-GB" w:eastAsia="pl-PL"/>
        </w:rPr>
        <w:t xml:space="preserve"> </w:t>
      </w:r>
      <w:hyperlink r:id="rId9" w:history="1">
        <w:r w:rsidR="0042090F" w:rsidRPr="00D33DF7">
          <w:rPr>
            <w:rStyle w:val="Hyperlink"/>
            <w:rFonts w:ascii="Arial" w:eastAsia="Calibri" w:hAnsi="Arial" w:cs="Arial"/>
            <w:bCs/>
            <w:sz w:val="14"/>
            <w:szCs w:val="16"/>
            <w:lang w:val="en-GB" w:eastAsia="pl-PL"/>
          </w:rPr>
          <w:t>www.gpw.pl</w:t>
        </w:r>
      </w:hyperlink>
      <w:r w:rsidR="00544BF0" w:rsidRPr="00D33DF7">
        <w:rPr>
          <w:rFonts w:ascii="Arial" w:eastAsia="Calibri" w:hAnsi="Arial" w:cs="Arial"/>
          <w:bCs/>
          <w:color w:val="666666"/>
          <w:sz w:val="14"/>
          <w:szCs w:val="16"/>
          <w:lang w:val="en-GB" w:eastAsia="pl-PL"/>
        </w:rPr>
        <w:t xml:space="preserve"> </w:t>
      </w:r>
      <w:r w:rsidR="00AA4454" w:rsidRPr="00D33DF7">
        <w:rPr>
          <w:rFonts w:ascii="Arial" w:eastAsia="Calibri" w:hAnsi="Arial" w:cs="Arial"/>
          <w:bCs/>
          <w:color w:val="666666"/>
          <w:sz w:val="14"/>
          <w:szCs w:val="16"/>
          <w:lang w:val="en-GB" w:eastAsia="pl-PL"/>
        </w:rPr>
        <w:t xml:space="preserve">  </w:t>
      </w:r>
      <w:r w:rsidR="00544BF0" w:rsidRPr="00D33DF7">
        <w:rPr>
          <w:rFonts w:ascii="Arial" w:eastAsia="Calibri" w:hAnsi="Arial" w:cs="Arial"/>
          <w:bCs/>
          <w:color w:val="666666"/>
          <w:sz w:val="14"/>
          <w:szCs w:val="16"/>
          <w:lang w:val="en-GB" w:eastAsia="pl-PL"/>
        </w:rPr>
        <w:t xml:space="preserve"> </w:t>
      </w:r>
    </w:p>
    <w:p w14:paraId="6FBB31E1" w14:textId="1A46E03B" w:rsidR="00C605D4" w:rsidRPr="00D33DF7" w:rsidRDefault="00C605D4" w:rsidP="00200EC3">
      <w:pPr>
        <w:spacing w:after="0" w:line="22" w:lineRule="atLeast"/>
        <w:jc w:val="both"/>
        <w:rPr>
          <w:rFonts w:ascii="Arial" w:eastAsia="Calibri" w:hAnsi="Arial" w:cs="Arial"/>
          <w:bCs/>
          <w:color w:val="666666"/>
          <w:sz w:val="14"/>
          <w:szCs w:val="16"/>
          <w:lang w:val="en-GB" w:eastAsia="pl-PL"/>
        </w:rPr>
        <w:sectPr w:rsidR="00C605D4" w:rsidRPr="00D33DF7">
          <w:headerReference w:type="default" r:id="rId10"/>
          <w:footerReference w:type="default" r:id="rId11"/>
          <w:pgSz w:w="11906" w:h="16838"/>
          <w:pgMar w:top="1417" w:right="1417" w:bottom="1417" w:left="1417" w:header="708" w:footer="708" w:gutter="0"/>
          <w:cols w:space="708"/>
          <w:docGrid w:linePitch="360"/>
        </w:sectPr>
      </w:pPr>
    </w:p>
    <w:p w14:paraId="40854B6E" w14:textId="5E91564D" w:rsidR="00E56B60" w:rsidRPr="00D33DF7" w:rsidRDefault="00E56B60" w:rsidP="00200EC3">
      <w:pPr>
        <w:tabs>
          <w:tab w:val="left" w:pos="2520"/>
        </w:tabs>
        <w:spacing w:after="0" w:line="22" w:lineRule="atLeast"/>
        <w:rPr>
          <w:rFonts w:ascii="Verdana" w:eastAsia="Times New Roman" w:hAnsi="Verdana" w:cs="Arial"/>
          <w:b/>
          <w:color w:val="000000" w:themeColor="text1"/>
          <w:sz w:val="18"/>
          <w:szCs w:val="18"/>
          <w:lang w:val="en-GB" w:eastAsia="pl-PL"/>
        </w:rPr>
      </w:pPr>
    </w:p>
    <w:p w14:paraId="5DC9EF8E" w14:textId="77777777" w:rsidR="00A82C90" w:rsidRPr="00D33DF7" w:rsidRDefault="00A82C90" w:rsidP="00200EC3">
      <w:pPr>
        <w:tabs>
          <w:tab w:val="left" w:pos="2520"/>
        </w:tabs>
        <w:spacing w:after="0" w:line="22" w:lineRule="atLeast"/>
        <w:rPr>
          <w:rFonts w:ascii="Verdana" w:eastAsia="Times New Roman" w:hAnsi="Verdana" w:cs="Arial"/>
          <w:b/>
          <w:color w:val="000000" w:themeColor="text1"/>
          <w:sz w:val="20"/>
          <w:szCs w:val="20"/>
          <w:lang w:val="en-GB" w:eastAsia="pl-PL"/>
        </w:rPr>
      </w:pPr>
    </w:p>
    <w:p w14:paraId="269D7DFD" w14:textId="465932D9" w:rsidR="0040532B" w:rsidRPr="00D33DF7" w:rsidRDefault="00466D38" w:rsidP="00200EC3">
      <w:pPr>
        <w:tabs>
          <w:tab w:val="left" w:pos="2520"/>
        </w:tabs>
        <w:spacing w:after="0" w:line="22" w:lineRule="atLeast"/>
        <w:rPr>
          <w:rFonts w:ascii="Verdana" w:eastAsia="Times New Roman" w:hAnsi="Verdana" w:cs="Arial"/>
          <w:b/>
          <w:color w:val="5B9BD5" w:themeColor="accent1"/>
          <w:sz w:val="20"/>
          <w:szCs w:val="20"/>
          <w:lang w:val="en-GB" w:eastAsia="pl-PL"/>
        </w:rPr>
      </w:pPr>
      <w:r w:rsidRPr="00D33DF7">
        <w:rPr>
          <w:rFonts w:ascii="Verdana" w:eastAsia="Times New Roman" w:hAnsi="Verdana" w:cs="Arial"/>
          <w:b/>
          <w:color w:val="5B9BD5" w:themeColor="accent1"/>
          <w:sz w:val="20"/>
          <w:szCs w:val="20"/>
          <w:lang w:val="en-GB" w:eastAsia="pl-PL"/>
        </w:rPr>
        <w:t>Media contact</w:t>
      </w:r>
      <w:r w:rsidR="0040532B" w:rsidRPr="00D33DF7">
        <w:rPr>
          <w:rFonts w:ascii="Verdana" w:eastAsia="Times New Roman" w:hAnsi="Verdana" w:cs="Arial"/>
          <w:b/>
          <w:color w:val="5B9BD5" w:themeColor="accent1"/>
          <w:sz w:val="20"/>
          <w:szCs w:val="20"/>
          <w:lang w:val="en-GB" w:eastAsia="pl-PL"/>
        </w:rPr>
        <w:t>:</w:t>
      </w:r>
    </w:p>
    <w:p w14:paraId="145FA921" w14:textId="77777777" w:rsidR="0040532B" w:rsidRPr="00D33DF7" w:rsidRDefault="0040532B" w:rsidP="00200EC3">
      <w:pPr>
        <w:tabs>
          <w:tab w:val="left" w:pos="2520"/>
        </w:tabs>
        <w:spacing w:after="0" w:line="22" w:lineRule="atLeast"/>
        <w:rPr>
          <w:rFonts w:ascii="Verdana" w:hAnsi="Verdana" w:cs="Arial"/>
          <w:color w:val="000000" w:themeColor="text1"/>
          <w:sz w:val="20"/>
          <w:szCs w:val="20"/>
          <w:lang w:val="en-GB"/>
        </w:rPr>
      </w:pPr>
    </w:p>
    <w:p w14:paraId="02F72110" w14:textId="77777777" w:rsidR="00A82C90" w:rsidRPr="00D33DF7" w:rsidRDefault="00A82C90" w:rsidP="00200EC3">
      <w:pPr>
        <w:tabs>
          <w:tab w:val="left" w:pos="2520"/>
        </w:tabs>
        <w:spacing w:after="0" w:line="22" w:lineRule="atLeast"/>
        <w:rPr>
          <w:rFonts w:ascii="Verdana" w:hAnsi="Verdana" w:cs="Arial"/>
          <w:color w:val="000000" w:themeColor="text1"/>
          <w:sz w:val="20"/>
          <w:szCs w:val="20"/>
          <w:lang w:val="en-GB"/>
        </w:rPr>
        <w:sectPr w:rsidR="00A82C90" w:rsidRPr="00D33DF7" w:rsidSect="0040532B">
          <w:headerReference w:type="default" r:id="rId12"/>
          <w:footerReference w:type="default" r:id="rId13"/>
          <w:type w:val="continuous"/>
          <w:pgSz w:w="11906" w:h="16838"/>
          <w:pgMar w:top="1417" w:right="1417" w:bottom="1417" w:left="1417" w:header="708" w:footer="708" w:gutter="0"/>
          <w:cols w:space="708"/>
          <w:docGrid w:linePitch="360"/>
        </w:sectPr>
      </w:pPr>
    </w:p>
    <w:p w14:paraId="6BAD99C8" w14:textId="4A38EB1A" w:rsidR="0040532B" w:rsidRPr="00D33DF7" w:rsidRDefault="00C64093" w:rsidP="00200EC3">
      <w:pPr>
        <w:tabs>
          <w:tab w:val="left" w:pos="2520"/>
        </w:tabs>
        <w:spacing w:after="0" w:line="22" w:lineRule="atLeast"/>
        <w:rPr>
          <w:rFonts w:ascii="Verdana" w:eastAsia="Times New Roman" w:hAnsi="Verdana" w:cs="Arial"/>
          <w:bCs/>
          <w:color w:val="000000" w:themeColor="text1"/>
          <w:sz w:val="18"/>
          <w:szCs w:val="18"/>
          <w:lang w:val="en-GB" w:eastAsia="pl-PL"/>
        </w:rPr>
      </w:pPr>
      <w:r w:rsidRPr="00D33DF7">
        <w:rPr>
          <w:rFonts w:ascii="Verdana" w:eastAsia="Times New Roman" w:hAnsi="Verdana" w:cs="Arial"/>
          <w:bCs/>
          <w:color w:val="000000" w:themeColor="text1"/>
          <w:sz w:val="18"/>
          <w:szCs w:val="18"/>
          <w:lang w:val="en-GB" w:eastAsia="pl-PL"/>
        </w:rPr>
        <w:lastRenderedPageBreak/>
        <w:t>Szymon</w:t>
      </w:r>
      <w:r w:rsidR="005C2EA7" w:rsidRPr="00D33DF7">
        <w:rPr>
          <w:rFonts w:ascii="Verdana" w:eastAsia="Times New Roman" w:hAnsi="Verdana" w:cs="Arial"/>
          <w:bCs/>
          <w:color w:val="000000" w:themeColor="text1"/>
          <w:sz w:val="18"/>
          <w:szCs w:val="18"/>
          <w:lang w:val="en-GB" w:eastAsia="pl-PL"/>
        </w:rPr>
        <w:t xml:space="preserve"> </w:t>
      </w:r>
      <w:r w:rsidRPr="00D33DF7">
        <w:rPr>
          <w:rFonts w:ascii="Verdana" w:eastAsia="Times New Roman" w:hAnsi="Verdana" w:cs="Arial"/>
          <w:bCs/>
          <w:color w:val="000000" w:themeColor="text1"/>
          <w:sz w:val="18"/>
          <w:szCs w:val="18"/>
          <w:lang w:val="en-GB" w:eastAsia="pl-PL"/>
        </w:rPr>
        <w:t>Korpanty</w:t>
      </w:r>
    </w:p>
    <w:p w14:paraId="49C539F2" w14:textId="2CC56C12" w:rsidR="00182266" w:rsidRPr="00D33DF7" w:rsidRDefault="00182266" w:rsidP="00182266">
      <w:pPr>
        <w:tabs>
          <w:tab w:val="left" w:pos="2520"/>
        </w:tabs>
        <w:spacing w:after="0" w:line="264" w:lineRule="auto"/>
        <w:rPr>
          <w:rFonts w:ascii="Verdana" w:eastAsia="Times New Roman" w:hAnsi="Verdana" w:cs="Arial"/>
          <w:bCs/>
          <w:color w:val="000000" w:themeColor="text1"/>
          <w:sz w:val="18"/>
          <w:szCs w:val="18"/>
          <w:lang w:val="en-GB" w:eastAsia="pl-PL"/>
        </w:rPr>
      </w:pPr>
      <w:r w:rsidRPr="00D33DF7">
        <w:rPr>
          <w:rFonts w:ascii="Verdana" w:eastAsia="Times New Roman" w:hAnsi="Verdana" w:cs="Arial"/>
          <w:bCs/>
          <w:color w:val="000000" w:themeColor="text1"/>
          <w:sz w:val="18"/>
          <w:szCs w:val="18"/>
          <w:lang w:val="en-GB" w:eastAsia="pl-PL"/>
        </w:rPr>
        <w:t xml:space="preserve">GPW </w:t>
      </w:r>
      <w:r w:rsidR="004206E8" w:rsidRPr="00D33DF7">
        <w:rPr>
          <w:rFonts w:ascii="Verdana" w:eastAsia="Times New Roman" w:hAnsi="Verdana" w:cs="Arial"/>
          <w:bCs/>
          <w:color w:val="000000" w:themeColor="text1"/>
          <w:sz w:val="18"/>
          <w:szCs w:val="18"/>
          <w:lang w:val="en-GB" w:eastAsia="pl-PL"/>
        </w:rPr>
        <w:t>Marketing and Communication</w:t>
      </w:r>
    </w:p>
    <w:p w14:paraId="2E4CCAED" w14:textId="12136DCD" w:rsidR="00182266" w:rsidRPr="00D33DF7" w:rsidRDefault="004206E8" w:rsidP="00182266">
      <w:pPr>
        <w:tabs>
          <w:tab w:val="left" w:pos="2520"/>
        </w:tabs>
        <w:spacing w:after="0" w:line="264" w:lineRule="auto"/>
        <w:rPr>
          <w:rFonts w:ascii="Verdana" w:eastAsia="Times New Roman" w:hAnsi="Verdana" w:cs="Arial"/>
          <w:bCs/>
          <w:color w:val="000000" w:themeColor="text1"/>
          <w:sz w:val="18"/>
          <w:szCs w:val="18"/>
          <w:lang w:val="en-GB" w:eastAsia="pl-PL"/>
        </w:rPr>
      </w:pPr>
      <w:r w:rsidRPr="00D33DF7">
        <w:rPr>
          <w:rFonts w:ascii="Verdana" w:eastAsia="Times New Roman" w:hAnsi="Verdana" w:cs="Arial"/>
          <w:bCs/>
          <w:color w:val="000000" w:themeColor="text1"/>
          <w:sz w:val="18"/>
          <w:szCs w:val="18"/>
          <w:lang w:val="en-GB" w:eastAsia="pl-PL"/>
        </w:rPr>
        <w:t>mobile</w:t>
      </w:r>
      <w:r w:rsidR="00182266" w:rsidRPr="00D33DF7">
        <w:rPr>
          <w:rFonts w:ascii="Verdana" w:eastAsia="Times New Roman" w:hAnsi="Verdana" w:cs="Arial"/>
          <w:bCs/>
          <w:color w:val="000000" w:themeColor="text1"/>
          <w:sz w:val="18"/>
          <w:szCs w:val="18"/>
          <w:lang w:val="en-GB" w:eastAsia="pl-PL"/>
        </w:rPr>
        <w:t xml:space="preserve"> </w:t>
      </w:r>
      <w:bookmarkStart w:id="4" w:name="_Hlk168300495"/>
      <w:r w:rsidR="00182266" w:rsidRPr="00D33DF7">
        <w:rPr>
          <w:rFonts w:ascii="Verdana" w:eastAsia="Times New Roman" w:hAnsi="Verdana" w:cs="Arial"/>
          <w:bCs/>
          <w:color w:val="000000" w:themeColor="text1"/>
          <w:sz w:val="18"/>
          <w:szCs w:val="18"/>
          <w:lang w:val="en-GB" w:eastAsia="pl-PL"/>
        </w:rPr>
        <w:t>+</w:t>
      </w:r>
      <w:bookmarkEnd w:id="4"/>
      <w:r w:rsidR="00061D48" w:rsidRPr="00D33DF7">
        <w:rPr>
          <w:rFonts w:ascii="Verdana" w:eastAsia="Times New Roman" w:hAnsi="Verdana" w:cs="Arial"/>
          <w:bCs/>
          <w:color w:val="000000" w:themeColor="text1"/>
          <w:sz w:val="18"/>
          <w:szCs w:val="18"/>
          <w:lang w:val="en-GB" w:eastAsia="pl-PL"/>
        </w:rPr>
        <w:t xml:space="preserve">48 </w:t>
      </w:r>
      <w:r w:rsidR="008B34AE" w:rsidRPr="00D33DF7">
        <w:rPr>
          <w:rFonts w:ascii="Verdana" w:eastAsia="Times New Roman" w:hAnsi="Verdana" w:cs="Arial"/>
          <w:bCs/>
          <w:color w:val="000000" w:themeColor="text1"/>
          <w:sz w:val="18"/>
          <w:szCs w:val="18"/>
          <w:lang w:val="en-GB" w:eastAsia="pl-PL"/>
        </w:rPr>
        <w:t>785 585 577</w:t>
      </w:r>
    </w:p>
    <w:p w14:paraId="104F66D4" w14:textId="5311A556" w:rsidR="0040532B" w:rsidRPr="00D33DF7" w:rsidRDefault="00182266" w:rsidP="00182266">
      <w:pPr>
        <w:tabs>
          <w:tab w:val="left" w:pos="2520"/>
        </w:tabs>
        <w:spacing w:after="0" w:line="22" w:lineRule="atLeast"/>
        <w:rPr>
          <w:rFonts w:ascii="Verdana" w:hAnsi="Verdana" w:cs="Arial"/>
          <w:color w:val="000000" w:themeColor="text1"/>
          <w:sz w:val="18"/>
          <w:szCs w:val="18"/>
          <w:lang w:val="en-GB"/>
        </w:rPr>
        <w:sectPr w:rsidR="0040532B" w:rsidRPr="00D33DF7" w:rsidSect="00BB15A8">
          <w:type w:val="continuous"/>
          <w:pgSz w:w="11906" w:h="16838"/>
          <w:pgMar w:top="1417" w:right="1417" w:bottom="1417" w:left="1417" w:header="708" w:footer="708" w:gutter="0"/>
          <w:cols w:space="284"/>
          <w:docGrid w:linePitch="360"/>
        </w:sectPr>
      </w:pPr>
      <w:hyperlink r:id="rId14" w:history="1">
        <w:r w:rsidRPr="00D33DF7">
          <w:rPr>
            <w:rStyle w:val="Hyperlink"/>
            <w:rFonts w:ascii="Verdana" w:hAnsi="Verdana" w:cs="Arial"/>
            <w:color w:val="000000" w:themeColor="text1"/>
            <w:sz w:val="18"/>
            <w:szCs w:val="18"/>
            <w:u w:val="none"/>
            <w:lang w:val="en-GB"/>
          </w:rPr>
          <w:t>press@gpw.pl</w:t>
        </w:r>
      </w:hyperlink>
    </w:p>
    <w:p w14:paraId="51289DA5" w14:textId="77777777" w:rsidR="0040532B" w:rsidRPr="00D33DF7" w:rsidRDefault="0040532B" w:rsidP="00200EC3">
      <w:pPr>
        <w:tabs>
          <w:tab w:val="left" w:pos="2520"/>
        </w:tabs>
        <w:spacing w:after="0" w:line="22" w:lineRule="atLeast"/>
        <w:rPr>
          <w:rFonts w:ascii="Verdana" w:eastAsia="Times New Roman" w:hAnsi="Verdana" w:cs="Arial"/>
          <w:bCs/>
          <w:color w:val="000000" w:themeColor="text1"/>
          <w:sz w:val="18"/>
          <w:szCs w:val="18"/>
          <w:lang w:val="en-GB" w:eastAsia="pl-PL"/>
        </w:rPr>
      </w:pPr>
    </w:p>
    <w:p w14:paraId="1E34997C" w14:textId="77777777" w:rsidR="0040532B" w:rsidRPr="00D33DF7" w:rsidRDefault="0040532B" w:rsidP="00200EC3">
      <w:pPr>
        <w:tabs>
          <w:tab w:val="left" w:pos="2520"/>
        </w:tabs>
        <w:spacing w:after="0" w:line="22" w:lineRule="atLeast"/>
        <w:rPr>
          <w:rFonts w:ascii="Verdana" w:eastAsia="Times New Roman" w:hAnsi="Verdana" w:cs="Arial"/>
          <w:bCs/>
          <w:color w:val="000000" w:themeColor="text1"/>
          <w:sz w:val="18"/>
          <w:szCs w:val="18"/>
          <w:lang w:val="en-GB" w:eastAsia="pl-PL"/>
        </w:rPr>
      </w:pPr>
      <w:r w:rsidRPr="00D33DF7">
        <w:rPr>
          <w:rFonts w:ascii="Verdana" w:eastAsia="Times New Roman" w:hAnsi="Verdana" w:cs="Arial"/>
          <w:bCs/>
          <w:color w:val="000000" w:themeColor="text1"/>
          <w:sz w:val="18"/>
          <w:szCs w:val="18"/>
          <w:lang w:val="en-GB" w:eastAsia="pl-PL"/>
        </w:rPr>
        <w:t xml:space="preserve">Robert Stankiewicz </w:t>
      </w:r>
    </w:p>
    <w:p w14:paraId="52011AB7" w14:textId="77777777" w:rsidR="0040532B" w:rsidRPr="00D33DF7" w:rsidRDefault="0040532B" w:rsidP="00200EC3">
      <w:pPr>
        <w:spacing w:after="0" w:line="22" w:lineRule="atLeast"/>
        <w:jc w:val="both"/>
        <w:rPr>
          <w:rFonts w:ascii="Verdana" w:hAnsi="Verdana" w:cs="Arial"/>
          <w:color w:val="000000" w:themeColor="text1"/>
          <w:sz w:val="18"/>
          <w:szCs w:val="18"/>
          <w:lang w:val="en-GB"/>
        </w:rPr>
        <w:sectPr w:rsidR="0040532B" w:rsidRPr="00D33DF7" w:rsidSect="00BB15A8">
          <w:headerReference w:type="default" r:id="rId15"/>
          <w:footerReference w:type="default" r:id="rId16"/>
          <w:type w:val="continuous"/>
          <w:pgSz w:w="11906" w:h="16838"/>
          <w:pgMar w:top="1417" w:right="1417" w:bottom="1417" w:left="1417" w:header="708" w:footer="708" w:gutter="0"/>
          <w:cols w:space="284"/>
          <w:docGrid w:linePitch="360"/>
        </w:sectPr>
      </w:pPr>
    </w:p>
    <w:p w14:paraId="0F6AC297" w14:textId="73AA5B45" w:rsidR="0040532B" w:rsidRPr="00D33DF7" w:rsidRDefault="004206E8" w:rsidP="00200EC3">
      <w:pPr>
        <w:tabs>
          <w:tab w:val="left" w:pos="2520"/>
        </w:tabs>
        <w:spacing w:after="0" w:line="22" w:lineRule="atLeast"/>
        <w:rPr>
          <w:rFonts w:ascii="Verdana" w:eastAsia="Times New Roman" w:hAnsi="Verdana" w:cs="Arial"/>
          <w:bCs/>
          <w:color w:val="000000" w:themeColor="text1"/>
          <w:sz w:val="18"/>
          <w:szCs w:val="18"/>
          <w:lang w:val="en-GB" w:eastAsia="pl-PL"/>
        </w:rPr>
      </w:pPr>
      <w:r w:rsidRPr="00D33DF7">
        <w:rPr>
          <w:rFonts w:ascii="Verdana" w:eastAsia="Times New Roman" w:hAnsi="Verdana" w:cs="Arial"/>
          <w:bCs/>
          <w:color w:val="000000" w:themeColor="text1"/>
          <w:sz w:val="18"/>
          <w:szCs w:val="18"/>
          <w:lang w:val="en-GB" w:eastAsia="pl-PL"/>
        </w:rPr>
        <w:t>GPW Marketing and Communication Director</w:t>
      </w:r>
    </w:p>
    <w:p w14:paraId="0DB7C1BF" w14:textId="31EB2114" w:rsidR="0040532B" w:rsidRPr="00D33DF7" w:rsidRDefault="004206E8" w:rsidP="00200EC3">
      <w:pPr>
        <w:tabs>
          <w:tab w:val="left" w:pos="2520"/>
        </w:tabs>
        <w:spacing w:after="0" w:line="22" w:lineRule="atLeast"/>
        <w:rPr>
          <w:rFonts w:ascii="Verdana" w:eastAsia="Times New Roman" w:hAnsi="Verdana" w:cs="Arial"/>
          <w:bCs/>
          <w:color w:val="000000" w:themeColor="text1"/>
          <w:sz w:val="18"/>
          <w:szCs w:val="18"/>
          <w:lang w:val="en-GB" w:eastAsia="pl-PL"/>
        </w:rPr>
      </w:pPr>
      <w:r w:rsidRPr="00D33DF7">
        <w:rPr>
          <w:rFonts w:ascii="Verdana" w:eastAsia="Times New Roman" w:hAnsi="Verdana" w:cs="Arial"/>
          <w:bCs/>
          <w:color w:val="000000" w:themeColor="text1"/>
          <w:sz w:val="18"/>
          <w:szCs w:val="18"/>
          <w:lang w:val="en-GB" w:eastAsia="pl-PL"/>
        </w:rPr>
        <w:t>mobile</w:t>
      </w:r>
      <w:r w:rsidR="0040532B" w:rsidRPr="00D33DF7">
        <w:rPr>
          <w:rFonts w:ascii="Verdana" w:eastAsia="Times New Roman" w:hAnsi="Verdana" w:cs="Arial"/>
          <w:bCs/>
          <w:color w:val="000000" w:themeColor="text1"/>
          <w:sz w:val="18"/>
          <w:szCs w:val="18"/>
          <w:lang w:val="en-GB" w:eastAsia="pl-PL"/>
        </w:rPr>
        <w:t xml:space="preserve"> +48 885 770 976</w:t>
      </w:r>
    </w:p>
    <w:p w14:paraId="44E3CF05" w14:textId="6C42C362" w:rsidR="0040532B" w:rsidRPr="00D33DF7" w:rsidRDefault="0040532B" w:rsidP="00200EC3">
      <w:pPr>
        <w:tabs>
          <w:tab w:val="left" w:pos="2520"/>
        </w:tabs>
        <w:spacing w:after="0" w:line="22" w:lineRule="atLeast"/>
        <w:rPr>
          <w:rFonts w:ascii="Verdana" w:hAnsi="Verdana" w:cs="Arial"/>
          <w:color w:val="000000" w:themeColor="text1"/>
          <w:sz w:val="18"/>
          <w:szCs w:val="18"/>
          <w:lang w:val="en-GB"/>
        </w:rPr>
      </w:pPr>
      <w:hyperlink r:id="rId17" w:history="1">
        <w:r w:rsidRPr="00D33DF7">
          <w:rPr>
            <w:rStyle w:val="Hyperlink"/>
            <w:rFonts w:ascii="Verdana" w:hAnsi="Verdana" w:cs="Arial"/>
            <w:color w:val="000000" w:themeColor="text1"/>
            <w:sz w:val="18"/>
            <w:szCs w:val="18"/>
            <w:u w:val="none"/>
            <w:lang w:val="en-GB"/>
          </w:rPr>
          <w:t>robert.stankiewicz@gpw.pl</w:t>
        </w:r>
      </w:hyperlink>
      <w:bookmarkEnd w:id="2"/>
    </w:p>
    <w:sectPr w:rsidR="0040532B" w:rsidRPr="00D33DF7" w:rsidSect="00BB15A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3833" w14:textId="77777777" w:rsidR="00AD0BF3" w:rsidRDefault="00AD0BF3" w:rsidP="00B84A59">
      <w:pPr>
        <w:spacing w:after="0" w:line="240" w:lineRule="auto"/>
      </w:pPr>
      <w:r>
        <w:separator/>
      </w:r>
    </w:p>
  </w:endnote>
  <w:endnote w:type="continuationSeparator" w:id="0">
    <w:p w14:paraId="481B1AD8" w14:textId="77777777" w:rsidR="00AD0BF3" w:rsidRDefault="00AD0BF3" w:rsidP="00B84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Segoe UI">
    <w:panose1 w:val="020B0604020202020204"/>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3797005"/>
      <w:docPartObj>
        <w:docPartGallery w:val="Page Numbers (Bottom of Page)"/>
        <w:docPartUnique/>
      </w:docPartObj>
    </w:sdtPr>
    <w:sdtEndPr/>
    <w:sdtContent>
      <w:p w14:paraId="54ADDF8D" w14:textId="77777777" w:rsidR="00247869" w:rsidRDefault="00247869">
        <w:pPr>
          <w:pStyle w:val="Footer"/>
          <w:jc w:val="right"/>
        </w:pPr>
        <w:r w:rsidRPr="002971F5">
          <w:rPr>
            <w:sz w:val="16"/>
            <w:szCs w:val="16"/>
          </w:rPr>
          <w:fldChar w:fldCharType="begin"/>
        </w:r>
        <w:r w:rsidRPr="002971F5">
          <w:rPr>
            <w:sz w:val="16"/>
            <w:szCs w:val="16"/>
          </w:rPr>
          <w:instrText>PAGE   \* MERGEFORMAT</w:instrText>
        </w:r>
        <w:r w:rsidRPr="002971F5">
          <w:rPr>
            <w:sz w:val="16"/>
            <w:szCs w:val="16"/>
          </w:rPr>
          <w:fldChar w:fldCharType="separate"/>
        </w:r>
        <w:r w:rsidR="009F7B68" w:rsidRPr="002971F5">
          <w:rPr>
            <w:noProof/>
            <w:sz w:val="16"/>
            <w:szCs w:val="16"/>
          </w:rPr>
          <w:t>5</w:t>
        </w:r>
        <w:r w:rsidRPr="002971F5">
          <w:rPr>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864436"/>
      <w:docPartObj>
        <w:docPartGallery w:val="Page Numbers (Bottom of Page)"/>
        <w:docPartUnique/>
      </w:docPartObj>
    </w:sdtPr>
    <w:sdtEndPr>
      <w:rPr>
        <w:sz w:val="16"/>
        <w:szCs w:val="16"/>
      </w:rPr>
    </w:sdtEndPr>
    <w:sdtContent>
      <w:p w14:paraId="02F6249A" w14:textId="77777777" w:rsidR="0040532B" w:rsidRPr="006A106C" w:rsidRDefault="0040532B">
        <w:pPr>
          <w:pStyle w:val="Footer"/>
          <w:jc w:val="right"/>
          <w:rPr>
            <w:sz w:val="16"/>
            <w:szCs w:val="16"/>
          </w:rPr>
        </w:pPr>
        <w:r w:rsidRPr="006A106C">
          <w:rPr>
            <w:sz w:val="16"/>
            <w:szCs w:val="16"/>
          </w:rPr>
          <w:fldChar w:fldCharType="begin"/>
        </w:r>
        <w:r w:rsidRPr="006A106C">
          <w:rPr>
            <w:sz w:val="16"/>
            <w:szCs w:val="16"/>
          </w:rPr>
          <w:instrText>PAGE   \* MERGEFORMAT</w:instrText>
        </w:r>
        <w:r w:rsidRPr="006A106C">
          <w:rPr>
            <w:sz w:val="16"/>
            <w:szCs w:val="16"/>
          </w:rPr>
          <w:fldChar w:fldCharType="separate"/>
        </w:r>
        <w:r w:rsidRPr="006A106C">
          <w:rPr>
            <w:sz w:val="16"/>
            <w:szCs w:val="16"/>
          </w:rPr>
          <w:t>2</w:t>
        </w:r>
        <w:r w:rsidRPr="006A106C">
          <w:rPr>
            <w:sz w:val="16"/>
            <w:szCs w:val="16"/>
          </w:rPr>
          <w:fldChar w:fldCharType="end"/>
        </w:r>
      </w:p>
    </w:sdtContent>
  </w:sdt>
  <w:p w14:paraId="37E6DA4C" w14:textId="77777777" w:rsidR="0040532B" w:rsidRDefault="004053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341757"/>
      <w:docPartObj>
        <w:docPartGallery w:val="Page Numbers (Bottom of Page)"/>
        <w:docPartUnique/>
      </w:docPartObj>
    </w:sdtPr>
    <w:sdtEndPr/>
    <w:sdtContent>
      <w:p w14:paraId="6D26AAA4" w14:textId="77777777" w:rsidR="0040532B" w:rsidRDefault="0040532B">
        <w:pPr>
          <w:pStyle w:val="Footer"/>
          <w:jc w:val="right"/>
        </w:pPr>
        <w:r>
          <w:fldChar w:fldCharType="begin"/>
        </w:r>
        <w:r>
          <w:instrText>PAGE   \* MERGEFORMAT</w:instrText>
        </w:r>
        <w:r>
          <w:fldChar w:fldCharType="separate"/>
        </w:r>
        <w:r>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03C53" w14:textId="77777777" w:rsidR="00AD0BF3" w:rsidRDefault="00AD0BF3" w:rsidP="00B84A59">
      <w:pPr>
        <w:spacing w:after="0" w:line="240" w:lineRule="auto"/>
      </w:pPr>
      <w:r>
        <w:separator/>
      </w:r>
    </w:p>
  </w:footnote>
  <w:footnote w:type="continuationSeparator" w:id="0">
    <w:p w14:paraId="3DF99575" w14:textId="77777777" w:rsidR="00AD0BF3" w:rsidRDefault="00AD0BF3" w:rsidP="00B84A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881A3" w14:textId="12755F7D" w:rsidR="00247869" w:rsidRDefault="001C37F9" w:rsidP="008B08FB">
    <w:pPr>
      <w:pStyle w:val="Header"/>
    </w:pPr>
    <w:r>
      <w:rPr>
        <w:noProof/>
      </w:rPr>
      <w:drawing>
        <wp:anchor distT="0" distB="0" distL="114300" distR="114300" simplePos="0" relativeHeight="251658240" behindDoc="0" locked="0" layoutInCell="1" allowOverlap="1" wp14:anchorId="79CF9703" wp14:editId="4883A5FD">
          <wp:simplePos x="0" y="0"/>
          <wp:positionH relativeFrom="margin">
            <wp:align>left</wp:align>
          </wp:positionH>
          <wp:positionV relativeFrom="paragraph">
            <wp:posOffset>-220345</wp:posOffset>
          </wp:positionV>
          <wp:extent cx="1589405" cy="465455"/>
          <wp:effectExtent l="0" t="0" r="0" b="0"/>
          <wp:wrapTopAndBottom/>
          <wp:docPr id="1150470927" name="Obraz 1150470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9405" cy="465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A9F1A" w14:textId="77777777" w:rsidR="0040532B" w:rsidRDefault="0040532B">
    <w:pPr>
      <w:pStyle w:val="Header"/>
    </w:pPr>
    <w:r>
      <w:rPr>
        <w:noProof/>
      </w:rPr>
      <w:drawing>
        <wp:anchor distT="0" distB="0" distL="114300" distR="114300" simplePos="0" relativeHeight="251661312" behindDoc="0" locked="0" layoutInCell="1" allowOverlap="1" wp14:anchorId="1C4D9BC6" wp14:editId="685DBBBE">
          <wp:simplePos x="0" y="0"/>
          <wp:positionH relativeFrom="margin">
            <wp:align>left</wp:align>
          </wp:positionH>
          <wp:positionV relativeFrom="paragraph">
            <wp:posOffset>-19685</wp:posOffset>
          </wp:positionV>
          <wp:extent cx="1589405" cy="465455"/>
          <wp:effectExtent l="0" t="0" r="0" b="0"/>
          <wp:wrapTopAndBottom/>
          <wp:docPr id="412669222" name="Obraz 412669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9405" cy="465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97351" w14:textId="77777777" w:rsidR="0040532B" w:rsidRDefault="0040532B" w:rsidP="00CD5D56">
    <w:pPr>
      <w:pStyle w:val="Header"/>
      <w:ind w:hanging="567"/>
      <w:rPr>
        <w:noProof/>
      </w:rPr>
    </w:pPr>
    <w:r>
      <w:rPr>
        <w:noProof/>
      </w:rPr>
      <w:drawing>
        <wp:anchor distT="0" distB="0" distL="114300" distR="114300" simplePos="0" relativeHeight="251660288" behindDoc="0" locked="0" layoutInCell="1" allowOverlap="1" wp14:anchorId="6EF8466E" wp14:editId="45B2E511">
          <wp:simplePos x="0" y="0"/>
          <wp:positionH relativeFrom="column">
            <wp:posOffset>117594</wp:posOffset>
          </wp:positionH>
          <wp:positionV relativeFrom="paragraph">
            <wp:posOffset>171450</wp:posOffset>
          </wp:positionV>
          <wp:extent cx="1589405" cy="46545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940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19A9F8" w14:textId="77777777" w:rsidR="0040532B" w:rsidRDefault="0040532B" w:rsidP="00CD5D56">
    <w:pPr>
      <w:pStyle w:val="Header"/>
      <w:ind w:hanging="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pt;height:23.3pt" o:bullet="t">
        <v:imagedata r:id="rId1" o:title="znaczek"/>
      </v:shape>
    </w:pict>
  </w:numPicBullet>
  <w:abstractNum w:abstractNumId="0" w15:restartNumberingAfterBreak="0">
    <w:nsid w:val="FFFFFF83"/>
    <w:multiLevelType w:val="singleLevel"/>
    <w:tmpl w:val="7FF2FC8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38F2972"/>
    <w:multiLevelType w:val="hybridMultilevel"/>
    <w:tmpl w:val="68DC3A2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A101F02"/>
    <w:multiLevelType w:val="hybridMultilevel"/>
    <w:tmpl w:val="96DAC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C82A2C"/>
    <w:multiLevelType w:val="hybridMultilevel"/>
    <w:tmpl w:val="10AC1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2D4929"/>
    <w:multiLevelType w:val="multilevel"/>
    <w:tmpl w:val="DF06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4E2C90"/>
    <w:multiLevelType w:val="multilevel"/>
    <w:tmpl w:val="BD7E4590"/>
    <w:lvl w:ilvl="0">
      <w:start w:val="1"/>
      <w:numFmt w:val="bullet"/>
      <w:lvlText w:val=""/>
      <w:lvlJc w:val="left"/>
      <w:pPr>
        <w:tabs>
          <w:tab w:val="num" w:pos="720"/>
        </w:tabs>
        <w:ind w:left="720" w:hanging="360"/>
      </w:pPr>
      <w:rPr>
        <w:rFonts w:ascii="Symbol" w:hAnsi="Symbol" w:hint="default"/>
        <w:color w:val="0090D5"/>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FC7D02"/>
    <w:multiLevelType w:val="hybridMultilevel"/>
    <w:tmpl w:val="14D6B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8712E79"/>
    <w:multiLevelType w:val="multilevel"/>
    <w:tmpl w:val="02001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2318E5"/>
    <w:multiLevelType w:val="hybridMultilevel"/>
    <w:tmpl w:val="802EFD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C25C7C"/>
    <w:multiLevelType w:val="multilevel"/>
    <w:tmpl w:val="77E04DCC"/>
    <w:lvl w:ilvl="0">
      <w:start w:val="1"/>
      <w:numFmt w:val="bullet"/>
      <w:lvlText w:val="¨"/>
      <w:lvlJc w:val="left"/>
      <w:pPr>
        <w:tabs>
          <w:tab w:val="num" w:pos="720"/>
        </w:tabs>
        <w:ind w:left="720" w:hanging="360"/>
      </w:pPr>
      <w:rPr>
        <w:rFonts w:ascii="Symbol" w:hAnsi="Symbol" w:hint="default"/>
        <w:color w:val="0090D5"/>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1275E7"/>
    <w:multiLevelType w:val="hybridMultilevel"/>
    <w:tmpl w:val="EA8A6EEC"/>
    <w:lvl w:ilvl="0" w:tplc="AC9C8AF8">
      <w:start w:val="1"/>
      <w:numFmt w:val="bullet"/>
      <w:lvlText w:val=""/>
      <w:lvlJc w:val="left"/>
      <w:pPr>
        <w:tabs>
          <w:tab w:val="num" w:pos="720"/>
        </w:tabs>
        <w:ind w:left="720" w:hanging="360"/>
      </w:pPr>
      <w:rPr>
        <w:rFonts w:ascii="Wingdings" w:hAnsi="Wingdings" w:hint="default"/>
      </w:rPr>
    </w:lvl>
    <w:lvl w:ilvl="1" w:tplc="BC06A1BC" w:tentative="1">
      <w:start w:val="1"/>
      <w:numFmt w:val="bullet"/>
      <w:lvlText w:val=""/>
      <w:lvlJc w:val="left"/>
      <w:pPr>
        <w:tabs>
          <w:tab w:val="num" w:pos="1440"/>
        </w:tabs>
        <w:ind w:left="1440" w:hanging="360"/>
      </w:pPr>
      <w:rPr>
        <w:rFonts w:ascii="Wingdings" w:hAnsi="Wingdings" w:hint="default"/>
      </w:rPr>
    </w:lvl>
    <w:lvl w:ilvl="2" w:tplc="52B42D3C" w:tentative="1">
      <w:start w:val="1"/>
      <w:numFmt w:val="bullet"/>
      <w:lvlText w:val=""/>
      <w:lvlJc w:val="left"/>
      <w:pPr>
        <w:tabs>
          <w:tab w:val="num" w:pos="2160"/>
        </w:tabs>
        <w:ind w:left="2160" w:hanging="360"/>
      </w:pPr>
      <w:rPr>
        <w:rFonts w:ascii="Wingdings" w:hAnsi="Wingdings" w:hint="default"/>
      </w:rPr>
    </w:lvl>
    <w:lvl w:ilvl="3" w:tplc="9ED85F9C" w:tentative="1">
      <w:start w:val="1"/>
      <w:numFmt w:val="bullet"/>
      <w:lvlText w:val=""/>
      <w:lvlJc w:val="left"/>
      <w:pPr>
        <w:tabs>
          <w:tab w:val="num" w:pos="2880"/>
        </w:tabs>
        <w:ind w:left="2880" w:hanging="360"/>
      </w:pPr>
      <w:rPr>
        <w:rFonts w:ascii="Wingdings" w:hAnsi="Wingdings" w:hint="default"/>
      </w:rPr>
    </w:lvl>
    <w:lvl w:ilvl="4" w:tplc="78061990" w:tentative="1">
      <w:start w:val="1"/>
      <w:numFmt w:val="bullet"/>
      <w:lvlText w:val=""/>
      <w:lvlJc w:val="left"/>
      <w:pPr>
        <w:tabs>
          <w:tab w:val="num" w:pos="3600"/>
        </w:tabs>
        <w:ind w:left="3600" w:hanging="360"/>
      </w:pPr>
      <w:rPr>
        <w:rFonts w:ascii="Wingdings" w:hAnsi="Wingdings" w:hint="default"/>
      </w:rPr>
    </w:lvl>
    <w:lvl w:ilvl="5" w:tplc="ECFC1F76" w:tentative="1">
      <w:start w:val="1"/>
      <w:numFmt w:val="bullet"/>
      <w:lvlText w:val=""/>
      <w:lvlJc w:val="left"/>
      <w:pPr>
        <w:tabs>
          <w:tab w:val="num" w:pos="4320"/>
        </w:tabs>
        <w:ind w:left="4320" w:hanging="360"/>
      </w:pPr>
      <w:rPr>
        <w:rFonts w:ascii="Wingdings" w:hAnsi="Wingdings" w:hint="default"/>
      </w:rPr>
    </w:lvl>
    <w:lvl w:ilvl="6" w:tplc="35AC8E1A" w:tentative="1">
      <w:start w:val="1"/>
      <w:numFmt w:val="bullet"/>
      <w:lvlText w:val=""/>
      <w:lvlJc w:val="left"/>
      <w:pPr>
        <w:tabs>
          <w:tab w:val="num" w:pos="5040"/>
        </w:tabs>
        <w:ind w:left="5040" w:hanging="360"/>
      </w:pPr>
      <w:rPr>
        <w:rFonts w:ascii="Wingdings" w:hAnsi="Wingdings" w:hint="default"/>
      </w:rPr>
    </w:lvl>
    <w:lvl w:ilvl="7" w:tplc="F70875DC" w:tentative="1">
      <w:start w:val="1"/>
      <w:numFmt w:val="bullet"/>
      <w:lvlText w:val=""/>
      <w:lvlJc w:val="left"/>
      <w:pPr>
        <w:tabs>
          <w:tab w:val="num" w:pos="5760"/>
        </w:tabs>
        <w:ind w:left="5760" w:hanging="360"/>
      </w:pPr>
      <w:rPr>
        <w:rFonts w:ascii="Wingdings" w:hAnsi="Wingdings" w:hint="default"/>
      </w:rPr>
    </w:lvl>
    <w:lvl w:ilvl="8" w:tplc="FD345B3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696A82"/>
    <w:multiLevelType w:val="hybridMultilevel"/>
    <w:tmpl w:val="7ECAB274"/>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38170785"/>
    <w:multiLevelType w:val="hybridMultilevel"/>
    <w:tmpl w:val="4636F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D0B0490"/>
    <w:multiLevelType w:val="hybridMultilevel"/>
    <w:tmpl w:val="D43233E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FB9557E"/>
    <w:multiLevelType w:val="hybridMultilevel"/>
    <w:tmpl w:val="F1166BAE"/>
    <w:lvl w:ilvl="0" w:tplc="8FA66AAE">
      <w:start w:val="1"/>
      <w:numFmt w:val="bullet"/>
      <w:lvlText w:val=""/>
      <w:lvlJc w:val="left"/>
      <w:pPr>
        <w:tabs>
          <w:tab w:val="num" w:pos="720"/>
        </w:tabs>
        <w:ind w:left="720" w:hanging="360"/>
      </w:pPr>
      <w:rPr>
        <w:rFonts w:ascii="Symbol" w:hAnsi="Symbol" w:hint="default"/>
      </w:rPr>
    </w:lvl>
    <w:lvl w:ilvl="1" w:tplc="130290BE" w:tentative="1">
      <w:start w:val="1"/>
      <w:numFmt w:val="bullet"/>
      <w:lvlText w:val=""/>
      <w:lvlJc w:val="left"/>
      <w:pPr>
        <w:tabs>
          <w:tab w:val="num" w:pos="1440"/>
        </w:tabs>
        <w:ind w:left="1440" w:hanging="360"/>
      </w:pPr>
      <w:rPr>
        <w:rFonts w:ascii="Symbol" w:hAnsi="Symbol" w:hint="default"/>
      </w:rPr>
    </w:lvl>
    <w:lvl w:ilvl="2" w:tplc="61323266" w:tentative="1">
      <w:start w:val="1"/>
      <w:numFmt w:val="bullet"/>
      <w:lvlText w:val=""/>
      <w:lvlJc w:val="left"/>
      <w:pPr>
        <w:tabs>
          <w:tab w:val="num" w:pos="2160"/>
        </w:tabs>
        <w:ind w:left="2160" w:hanging="360"/>
      </w:pPr>
      <w:rPr>
        <w:rFonts w:ascii="Symbol" w:hAnsi="Symbol" w:hint="default"/>
      </w:rPr>
    </w:lvl>
    <w:lvl w:ilvl="3" w:tplc="CDDAD062" w:tentative="1">
      <w:start w:val="1"/>
      <w:numFmt w:val="bullet"/>
      <w:lvlText w:val=""/>
      <w:lvlJc w:val="left"/>
      <w:pPr>
        <w:tabs>
          <w:tab w:val="num" w:pos="2880"/>
        </w:tabs>
        <w:ind w:left="2880" w:hanging="360"/>
      </w:pPr>
      <w:rPr>
        <w:rFonts w:ascii="Symbol" w:hAnsi="Symbol" w:hint="default"/>
      </w:rPr>
    </w:lvl>
    <w:lvl w:ilvl="4" w:tplc="E56C20D6" w:tentative="1">
      <w:start w:val="1"/>
      <w:numFmt w:val="bullet"/>
      <w:lvlText w:val=""/>
      <w:lvlJc w:val="left"/>
      <w:pPr>
        <w:tabs>
          <w:tab w:val="num" w:pos="3600"/>
        </w:tabs>
        <w:ind w:left="3600" w:hanging="360"/>
      </w:pPr>
      <w:rPr>
        <w:rFonts w:ascii="Symbol" w:hAnsi="Symbol" w:hint="default"/>
      </w:rPr>
    </w:lvl>
    <w:lvl w:ilvl="5" w:tplc="35A66DDA" w:tentative="1">
      <w:start w:val="1"/>
      <w:numFmt w:val="bullet"/>
      <w:lvlText w:val=""/>
      <w:lvlJc w:val="left"/>
      <w:pPr>
        <w:tabs>
          <w:tab w:val="num" w:pos="4320"/>
        </w:tabs>
        <w:ind w:left="4320" w:hanging="360"/>
      </w:pPr>
      <w:rPr>
        <w:rFonts w:ascii="Symbol" w:hAnsi="Symbol" w:hint="default"/>
      </w:rPr>
    </w:lvl>
    <w:lvl w:ilvl="6" w:tplc="C0EA4972" w:tentative="1">
      <w:start w:val="1"/>
      <w:numFmt w:val="bullet"/>
      <w:lvlText w:val=""/>
      <w:lvlJc w:val="left"/>
      <w:pPr>
        <w:tabs>
          <w:tab w:val="num" w:pos="5040"/>
        </w:tabs>
        <w:ind w:left="5040" w:hanging="360"/>
      </w:pPr>
      <w:rPr>
        <w:rFonts w:ascii="Symbol" w:hAnsi="Symbol" w:hint="default"/>
      </w:rPr>
    </w:lvl>
    <w:lvl w:ilvl="7" w:tplc="FE74537A" w:tentative="1">
      <w:start w:val="1"/>
      <w:numFmt w:val="bullet"/>
      <w:lvlText w:val=""/>
      <w:lvlJc w:val="left"/>
      <w:pPr>
        <w:tabs>
          <w:tab w:val="num" w:pos="5760"/>
        </w:tabs>
        <w:ind w:left="5760" w:hanging="360"/>
      </w:pPr>
      <w:rPr>
        <w:rFonts w:ascii="Symbol" w:hAnsi="Symbol" w:hint="default"/>
      </w:rPr>
    </w:lvl>
    <w:lvl w:ilvl="8" w:tplc="D538651E"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030291D"/>
    <w:multiLevelType w:val="hybridMultilevel"/>
    <w:tmpl w:val="44083E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B42334"/>
    <w:multiLevelType w:val="hybridMultilevel"/>
    <w:tmpl w:val="5636C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836DBD"/>
    <w:multiLevelType w:val="hybridMultilevel"/>
    <w:tmpl w:val="6A803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B75475"/>
    <w:multiLevelType w:val="hybridMultilevel"/>
    <w:tmpl w:val="93489868"/>
    <w:lvl w:ilvl="0" w:tplc="6B38CA1E">
      <w:start w:val="1"/>
      <w:numFmt w:val="bullet"/>
      <w:lvlText w:val=""/>
      <w:lvlJc w:val="left"/>
      <w:pPr>
        <w:tabs>
          <w:tab w:val="num" w:pos="720"/>
        </w:tabs>
        <w:ind w:left="720" w:hanging="360"/>
      </w:pPr>
      <w:rPr>
        <w:rFonts w:ascii="Symbol" w:hAnsi="Symbol" w:hint="default"/>
      </w:rPr>
    </w:lvl>
    <w:lvl w:ilvl="1" w:tplc="981CE000" w:tentative="1">
      <w:start w:val="1"/>
      <w:numFmt w:val="bullet"/>
      <w:lvlText w:val=""/>
      <w:lvlJc w:val="left"/>
      <w:pPr>
        <w:tabs>
          <w:tab w:val="num" w:pos="1440"/>
        </w:tabs>
        <w:ind w:left="1440" w:hanging="360"/>
      </w:pPr>
      <w:rPr>
        <w:rFonts w:ascii="Symbol" w:hAnsi="Symbol" w:hint="default"/>
      </w:rPr>
    </w:lvl>
    <w:lvl w:ilvl="2" w:tplc="1CCAB228" w:tentative="1">
      <w:start w:val="1"/>
      <w:numFmt w:val="bullet"/>
      <w:lvlText w:val=""/>
      <w:lvlJc w:val="left"/>
      <w:pPr>
        <w:tabs>
          <w:tab w:val="num" w:pos="2160"/>
        </w:tabs>
        <w:ind w:left="2160" w:hanging="360"/>
      </w:pPr>
      <w:rPr>
        <w:rFonts w:ascii="Symbol" w:hAnsi="Symbol" w:hint="default"/>
      </w:rPr>
    </w:lvl>
    <w:lvl w:ilvl="3" w:tplc="455C3DF6" w:tentative="1">
      <w:start w:val="1"/>
      <w:numFmt w:val="bullet"/>
      <w:lvlText w:val=""/>
      <w:lvlJc w:val="left"/>
      <w:pPr>
        <w:tabs>
          <w:tab w:val="num" w:pos="2880"/>
        </w:tabs>
        <w:ind w:left="2880" w:hanging="360"/>
      </w:pPr>
      <w:rPr>
        <w:rFonts w:ascii="Symbol" w:hAnsi="Symbol" w:hint="default"/>
      </w:rPr>
    </w:lvl>
    <w:lvl w:ilvl="4" w:tplc="911A1AA6" w:tentative="1">
      <w:start w:val="1"/>
      <w:numFmt w:val="bullet"/>
      <w:lvlText w:val=""/>
      <w:lvlJc w:val="left"/>
      <w:pPr>
        <w:tabs>
          <w:tab w:val="num" w:pos="3600"/>
        </w:tabs>
        <w:ind w:left="3600" w:hanging="360"/>
      </w:pPr>
      <w:rPr>
        <w:rFonts w:ascii="Symbol" w:hAnsi="Symbol" w:hint="default"/>
      </w:rPr>
    </w:lvl>
    <w:lvl w:ilvl="5" w:tplc="A9ACA512" w:tentative="1">
      <w:start w:val="1"/>
      <w:numFmt w:val="bullet"/>
      <w:lvlText w:val=""/>
      <w:lvlJc w:val="left"/>
      <w:pPr>
        <w:tabs>
          <w:tab w:val="num" w:pos="4320"/>
        </w:tabs>
        <w:ind w:left="4320" w:hanging="360"/>
      </w:pPr>
      <w:rPr>
        <w:rFonts w:ascii="Symbol" w:hAnsi="Symbol" w:hint="default"/>
      </w:rPr>
    </w:lvl>
    <w:lvl w:ilvl="6" w:tplc="211CBA3C" w:tentative="1">
      <w:start w:val="1"/>
      <w:numFmt w:val="bullet"/>
      <w:lvlText w:val=""/>
      <w:lvlJc w:val="left"/>
      <w:pPr>
        <w:tabs>
          <w:tab w:val="num" w:pos="5040"/>
        </w:tabs>
        <w:ind w:left="5040" w:hanging="360"/>
      </w:pPr>
      <w:rPr>
        <w:rFonts w:ascii="Symbol" w:hAnsi="Symbol" w:hint="default"/>
      </w:rPr>
    </w:lvl>
    <w:lvl w:ilvl="7" w:tplc="1FC4F662" w:tentative="1">
      <w:start w:val="1"/>
      <w:numFmt w:val="bullet"/>
      <w:lvlText w:val=""/>
      <w:lvlJc w:val="left"/>
      <w:pPr>
        <w:tabs>
          <w:tab w:val="num" w:pos="5760"/>
        </w:tabs>
        <w:ind w:left="5760" w:hanging="360"/>
      </w:pPr>
      <w:rPr>
        <w:rFonts w:ascii="Symbol" w:hAnsi="Symbol" w:hint="default"/>
      </w:rPr>
    </w:lvl>
    <w:lvl w:ilvl="8" w:tplc="B1F20476"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6140362"/>
    <w:multiLevelType w:val="multilevel"/>
    <w:tmpl w:val="F536C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2C0E7D"/>
    <w:multiLevelType w:val="hybridMultilevel"/>
    <w:tmpl w:val="1854CB82"/>
    <w:lvl w:ilvl="0" w:tplc="E0B88166">
      <w:start w:val="1"/>
      <w:numFmt w:val="bullet"/>
      <w:lvlText w:val=""/>
      <w:lvlJc w:val="left"/>
      <w:pPr>
        <w:tabs>
          <w:tab w:val="num" w:pos="720"/>
        </w:tabs>
        <w:ind w:left="720" w:hanging="360"/>
      </w:pPr>
      <w:rPr>
        <w:rFonts w:ascii="Symbol" w:hAnsi="Symbol" w:hint="default"/>
      </w:rPr>
    </w:lvl>
    <w:lvl w:ilvl="1" w:tplc="9BC8C79E" w:tentative="1">
      <w:start w:val="1"/>
      <w:numFmt w:val="bullet"/>
      <w:lvlText w:val=""/>
      <w:lvlJc w:val="left"/>
      <w:pPr>
        <w:tabs>
          <w:tab w:val="num" w:pos="1440"/>
        </w:tabs>
        <w:ind w:left="1440" w:hanging="360"/>
      </w:pPr>
      <w:rPr>
        <w:rFonts w:ascii="Symbol" w:hAnsi="Symbol" w:hint="default"/>
      </w:rPr>
    </w:lvl>
    <w:lvl w:ilvl="2" w:tplc="9D624982" w:tentative="1">
      <w:start w:val="1"/>
      <w:numFmt w:val="bullet"/>
      <w:lvlText w:val=""/>
      <w:lvlJc w:val="left"/>
      <w:pPr>
        <w:tabs>
          <w:tab w:val="num" w:pos="2160"/>
        </w:tabs>
        <w:ind w:left="2160" w:hanging="360"/>
      </w:pPr>
      <w:rPr>
        <w:rFonts w:ascii="Symbol" w:hAnsi="Symbol" w:hint="default"/>
      </w:rPr>
    </w:lvl>
    <w:lvl w:ilvl="3" w:tplc="97A41BFC" w:tentative="1">
      <w:start w:val="1"/>
      <w:numFmt w:val="bullet"/>
      <w:lvlText w:val=""/>
      <w:lvlJc w:val="left"/>
      <w:pPr>
        <w:tabs>
          <w:tab w:val="num" w:pos="2880"/>
        </w:tabs>
        <w:ind w:left="2880" w:hanging="360"/>
      </w:pPr>
      <w:rPr>
        <w:rFonts w:ascii="Symbol" w:hAnsi="Symbol" w:hint="default"/>
      </w:rPr>
    </w:lvl>
    <w:lvl w:ilvl="4" w:tplc="E9BC6C96" w:tentative="1">
      <w:start w:val="1"/>
      <w:numFmt w:val="bullet"/>
      <w:lvlText w:val=""/>
      <w:lvlJc w:val="left"/>
      <w:pPr>
        <w:tabs>
          <w:tab w:val="num" w:pos="3600"/>
        </w:tabs>
        <w:ind w:left="3600" w:hanging="360"/>
      </w:pPr>
      <w:rPr>
        <w:rFonts w:ascii="Symbol" w:hAnsi="Symbol" w:hint="default"/>
      </w:rPr>
    </w:lvl>
    <w:lvl w:ilvl="5" w:tplc="390851F0" w:tentative="1">
      <w:start w:val="1"/>
      <w:numFmt w:val="bullet"/>
      <w:lvlText w:val=""/>
      <w:lvlJc w:val="left"/>
      <w:pPr>
        <w:tabs>
          <w:tab w:val="num" w:pos="4320"/>
        </w:tabs>
        <w:ind w:left="4320" w:hanging="360"/>
      </w:pPr>
      <w:rPr>
        <w:rFonts w:ascii="Symbol" w:hAnsi="Symbol" w:hint="default"/>
      </w:rPr>
    </w:lvl>
    <w:lvl w:ilvl="6" w:tplc="FE825A7A" w:tentative="1">
      <w:start w:val="1"/>
      <w:numFmt w:val="bullet"/>
      <w:lvlText w:val=""/>
      <w:lvlJc w:val="left"/>
      <w:pPr>
        <w:tabs>
          <w:tab w:val="num" w:pos="5040"/>
        </w:tabs>
        <w:ind w:left="5040" w:hanging="360"/>
      </w:pPr>
      <w:rPr>
        <w:rFonts w:ascii="Symbol" w:hAnsi="Symbol" w:hint="default"/>
      </w:rPr>
    </w:lvl>
    <w:lvl w:ilvl="7" w:tplc="8216E5D6" w:tentative="1">
      <w:start w:val="1"/>
      <w:numFmt w:val="bullet"/>
      <w:lvlText w:val=""/>
      <w:lvlJc w:val="left"/>
      <w:pPr>
        <w:tabs>
          <w:tab w:val="num" w:pos="5760"/>
        </w:tabs>
        <w:ind w:left="5760" w:hanging="360"/>
      </w:pPr>
      <w:rPr>
        <w:rFonts w:ascii="Symbol" w:hAnsi="Symbol" w:hint="default"/>
      </w:rPr>
    </w:lvl>
    <w:lvl w:ilvl="8" w:tplc="E000035E"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5CAB502B"/>
    <w:multiLevelType w:val="hybridMultilevel"/>
    <w:tmpl w:val="8F30B9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E75923"/>
    <w:multiLevelType w:val="hybridMultilevel"/>
    <w:tmpl w:val="AA644148"/>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69B47B7D"/>
    <w:multiLevelType w:val="hybridMultilevel"/>
    <w:tmpl w:val="7458DB7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655FAC"/>
    <w:multiLevelType w:val="hybridMultilevel"/>
    <w:tmpl w:val="36142014"/>
    <w:lvl w:ilvl="0" w:tplc="EE42F9EE">
      <w:start w:val="1"/>
      <w:numFmt w:val="bullet"/>
      <w:lvlText w:val=""/>
      <w:lvlJc w:val="left"/>
      <w:pPr>
        <w:tabs>
          <w:tab w:val="num" w:pos="720"/>
        </w:tabs>
        <w:ind w:left="720" w:hanging="360"/>
      </w:pPr>
      <w:rPr>
        <w:rFonts w:ascii="Symbol" w:hAnsi="Symbol" w:hint="default"/>
      </w:rPr>
    </w:lvl>
    <w:lvl w:ilvl="1" w:tplc="B26C8D10" w:tentative="1">
      <w:start w:val="1"/>
      <w:numFmt w:val="bullet"/>
      <w:lvlText w:val=""/>
      <w:lvlJc w:val="left"/>
      <w:pPr>
        <w:tabs>
          <w:tab w:val="num" w:pos="1440"/>
        </w:tabs>
        <w:ind w:left="1440" w:hanging="360"/>
      </w:pPr>
      <w:rPr>
        <w:rFonts w:ascii="Symbol" w:hAnsi="Symbol" w:hint="default"/>
      </w:rPr>
    </w:lvl>
    <w:lvl w:ilvl="2" w:tplc="29A60FAA" w:tentative="1">
      <w:start w:val="1"/>
      <w:numFmt w:val="bullet"/>
      <w:lvlText w:val=""/>
      <w:lvlJc w:val="left"/>
      <w:pPr>
        <w:tabs>
          <w:tab w:val="num" w:pos="2160"/>
        </w:tabs>
        <w:ind w:left="2160" w:hanging="360"/>
      </w:pPr>
      <w:rPr>
        <w:rFonts w:ascii="Symbol" w:hAnsi="Symbol" w:hint="default"/>
      </w:rPr>
    </w:lvl>
    <w:lvl w:ilvl="3" w:tplc="53B82A16" w:tentative="1">
      <w:start w:val="1"/>
      <w:numFmt w:val="bullet"/>
      <w:lvlText w:val=""/>
      <w:lvlJc w:val="left"/>
      <w:pPr>
        <w:tabs>
          <w:tab w:val="num" w:pos="2880"/>
        </w:tabs>
        <w:ind w:left="2880" w:hanging="360"/>
      </w:pPr>
      <w:rPr>
        <w:rFonts w:ascii="Symbol" w:hAnsi="Symbol" w:hint="default"/>
      </w:rPr>
    </w:lvl>
    <w:lvl w:ilvl="4" w:tplc="DB807840" w:tentative="1">
      <w:start w:val="1"/>
      <w:numFmt w:val="bullet"/>
      <w:lvlText w:val=""/>
      <w:lvlJc w:val="left"/>
      <w:pPr>
        <w:tabs>
          <w:tab w:val="num" w:pos="3600"/>
        </w:tabs>
        <w:ind w:left="3600" w:hanging="360"/>
      </w:pPr>
      <w:rPr>
        <w:rFonts w:ascii="Symbol" w:hAnsi="Symbol" w:hint="default"/>
      </w:rPr>
    </w:lvl>
    <w:lvl w:ilvl="5" w:tplc="98E4E7E2" w:tentative="1">
      <w:start w:val="1"/>
      <w:numFmt w:val="bullet"/>
      <w:lvlText w:val=""/>
      <w:lvlJc w:val="left"/>
      <w:pPr>
        <w:tabs>
          <w:tab w:val="num" w:pos="4320"/>
        </w:tabs>
        <w:ind w:left="4320" w:hanging="360"/>
      </w:pPr>
      <w:rPr>
        <w:rFonts w:ascii="Symbol" w:hAnsi="Symbol" w:hint="default"/>
      </w:rPr>
    </w:lvl>
    <w:lvl w:ilvl="6" w:tplc="5AEC93C4" w:tentative="1">
      <w:start w:val="1"/>
      <w:numFmt w:val="bullet"/>
      <w:lvlText w:val=""/>
      <w:lvlJc w:val="left"/>
      <w:pPr>
        <w:tabs>
          <w:tab w:val="num" w:pos="5040"/>
        </w:tabs>
        <w:ind w:left="5040" w:hanging="360"/>
      </w:pPr>
      <w:rPr>
        <w:rFonts w:ascii="Symbol" w:hAnsi="Symbol" w:hint="default"/>
      </w:rPr>
    </w:lvl>
    <w:lvl w:ilvl="7" w:tplc="5672C57C" w:tentative="1">
      <w:start w:val="1"/>
      <w:numFmt w:val="bullet"/>
      <w:lvlText w:val=""/>
      <w:lvlJc w:val="left"/>
      <w:pPr>
        <w:tabs>
          <w:tab w:val="num" w:pos="5760"/>
        </w:tabs>
        <w:ind w:left="5760" w:hanging="360"/>
      </w:pPr>
      <w:rPr>
        <w:rFonts w:ascii="Symbol" w:hAnsi="Symbol" w:hint="default"/>
      </w:rPr>
    </w:lvl>
    <w:lvl w:ilvl="8" w:tplc="C414CBEE"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6B322FB2"/>
    <w:multiLevelType w:val="multilevel"/>
    <w:tmpl w:val="194A9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2E623BB"/>
    <w:multiLevelType w:val="hybridMultilevel"/>
    <w:tmpl w:val="D0C822F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755E7759"/>
    <w:multiLevelType w:val="multilevel"/>
    <w:tmpl w:val="EC609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18792879">
    <w:abstractNumId w:val="9"/>
  </w:num>
  <w:num w:numId="2" w16cid:durableId="1377317194">
    <w:abstractNumId w:val="18"/>
  </w:num>
  <w:num w:numId="3" w16cid:durableId="1911621196">
    <w:abstractNumId w:val="5"/>
  </w:num>
  <w:num w:numId="4" w16cid:durableId="2079981869">
    <w:abstractNumId w:val="15"/>
  </w:num>
  <w:num w:numId="5" w16cid:durableId="1628657649">
    <w:abstractNumId w:val="26"/>
  </w:num>
  <w:num w:numId="6" w16cid:durableId="146022674">
    <w:abstractNumId w:val="11"/>
  </w:num>
  <w:num w:numId="7" w16cid:durableId="1852988586">
    <w:abstractNumId w:val="23"/>
  </w:num>
  <w:num w:numId="8" w16cid:durableId="1966691753">
    <w:abstractNumId w:val="13"/>
  </w:num>
  <w:num w:numId="9" w16cid:durableId="567573311">
    <w:abstractNumId w:val="25"/>
  </w:num>
  <w:num w:numId="10" w16cid:durableId="737870854">
    <w:abstractNumId w:val="8"/>
  </w:num>
  <w:num w:numId="11" w16cid:durableId="1074282232">
    <w:abstractNumId w:val="14"/>
  </w:num>
  <w:num w:numId="12" w16cid:durableId="1587030043">
    <w:abstractNumId w:val="1"/>
  </w:num>
  <w:num w:numId="13" w16cid:durableId="246114433">
    <w:abstractNumId w:val="20"/>
  </w:num>
  <w:num w:numId="14" w16cid:durableId="1845824966">
    <w:abstractNumId w:val="24"/>
  </w:num>
  <w:num w:numId="15" w16cid:durableId="109324088">
    <w:abstractNumId w:val="0"/>
  </w:num>
  <w:num w:numId="16" w16cid:durableId="1082143267">
    <w:abstractNumId w:val="3"/>
  </w:num>
  <w:num w:numId="17" w16cid:durableId="420179497">
    <w:abstractNumId w:val="22"/>
  </w:num>
  <w:num w:numId="18" w16cid:durableId="663900459">
    <w:abstractNumId w:val="21"/>
  </w:num>
  <w:num w:numId="19" w16cid:durableId="335886097">
    <w:abstractNumId w:val="17"/>
  </w:num>
  <w:num w:numId="20" w16cid:durableId="1381249478">
    <w:abstractNumId w:val="16"/>
  </w:num>
  <w:num w:numId="21" w16cid:durableId="2108302397">
    <w:abstractNumId w:val="10"/>
  </w:num>
  <w:num w:numId="22" w16cid:durableId="945229404">
    <w:abstractNumId w:val="7"/>
  </w:num>
  <w:num w:numId="23" w16cid:durableId="615717411">
    <w:abstractNumId w:val="27"/>
  </w:num>
  <w:num w:numId="24" w16cid:durableId="464733813">
    <w:abstractNumId w:val="12"/>
  </w:num>
  <w:num w:numId="25" w16cid:durableId="1374421843">
    <w:abstractNumId w:val="4"/>
  </w:num>
  <w:num w:numId="26" w16cid:durableId="481655293">
    <w:abstractNumId w:val="19"/>
  </w:num>
  <w:num w:numId="27" w16cid:durableId="1641686652">
    <w:abstractNumId w:val="2"/>
  </w:num>
  <w:num w:numId="28" w16cid:durableId="12792954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view w:val="normal"/>
  <w:zoom w:percent="284"/>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E56"/>
    <w:rsid w:val="000025EA"/>
    <w:rsid w:val="000027BB"/>
    <w:rsid w:val="00002AF8"/>
    <w:rsid w:val="00007371"/>
    <w:rsid w:val="0000765A"/>
    <w:rsid w:val="000107FC"/>
    <w:rsid w:val="000111DE"/>
    <w:rsid w:val="000129A1"/>
    <w:rsid w:val="00013487"/>
    <w:rsid w:val="0001477E"/>
    <w:rsid w:val="000151F9"/>
    <w:rsid w:val="00015B7B"/>
    <w:rsid w:val="00015C7A"/>
    <w:rsid w:val="00016FA8"/>
    <w:rsid w:val="000173D1"/>
    <w:rsid w:val="00017D6D"/>
    <w:rsid w:val="00020700"/>
    <w:rsid w:val="00021720"/>
    <w:rsid w:val="00021D3E"/>
    <w:rsid w:val="00023E05"/>
    <w:rsid w:val="00024ABA"/>
    <w:rsid w:val="00024F07"/>
    <w:rsid w:val="00025141"/>
    <w:rsid w:val="00025A49"/>
    <w:rsid w:val="000262A8"/>
    <w:rsid w:val="000264A2"/>
    <w:rsid w:val="000276DB"/>
    <w:rsid w:val="00030E5F"/>
    <w:rsid w:val="0003196D"/>
    <w:rsid w:val="000337C5"/>
    <w:rsid w:val="00035F01"/>
    <w:rsid w:val="00040B50"/>
    <w:rsid w:val="00041594"/>
    <w:rsid w:val="00043D78"/>
    <w:rsid w:val="000443CF"/>
    <w:rsid w:val="00045305"/>
    <w:rsid w:val="0004698C"/>
    <w:rsid w:val="00046B3F"/>
    <w:rsid w:val="000475D3"/>
    <w:rsid w:val="00047CE3"/>
    <w:rsid w:val="00050278"/>
    <w:rsid w:val="00050C80"/>
    <w:rsid w:val="00050E07"/>
    <w:rsid w:val="0005167F"/>
    <w:rsid w:val="00051718"/>
    <w:rsid w:val="000520A6"/>
    <w:rsid w:val="000527DE"/>
    <w:rsid w:val="0005445B"/>
    <w:rsid w:val="00054FD8"/>
    <w:rsid w:val="00055BB4"/>
    <w:rsid w:val="00060292"/>
    <w:rsid w:val="000612DF"/>
    <w:rsid w:val="00061D48"/>
    <w:rsid w:val="000646AE"/>
    <w:rsid w:val="00064D26"/>
    <w:rsid w:val="000650C5"/>
    <w:rsid w:val="00072FCE"/>
    <w:rsid w:val="000734EC"/>
    <w:rsid w:val="00074732"/>
    <w:rsid w:val="00075A84"/>
    <w:rsid w:val="00077922"/>
    <w:rsid w:val="0008032C"/>
    <w:rsid w:val="000806FD"/>
    <w:rsid w:val="0008077F"/>
    <w:rsid w:val="0008196D"/>
    <w:rsid w:val="00081E50"/>
    <w:rsid w:val="000825F0"/>
    <w:rsid w:val="00082B97"/>
    <w:rsid w:val="000830BD"/>
    <w:rsid w:val="00084A28"/>
    <w:rsid w:val="00085215"/>
    <w:rsid w:val="00087091"/>
    <w:rsid w:val="00087C60"/>
    <w:rsid w:val="00090B9F"/>
    <w:rsid w:val="0009178E"/>
    <w:rsid w:val="00093F2B"/>
    <w:rsid w:val="00094896"/>
    <w:rsid w:val="000949CF"/>
    <w:rsid w:val="000961F7"/>
    <w:rsid w:val="00097294"/>
    <w:rsid w:val="00097693"/>
    <w:rsid w:val="000A3A55"/>
    <w:rsid w:val="000A40FC"/>
    <w:rsid w:val="000A5166"/>
    <w:rsid w:val="000A5BFB"/>
    <w:rsid w:val="000A69C7"/>
    <w:rsid w:val="000A6CCC"/>
    <w:rsid w:val="000A7674"/>
    <w:rsid w:val="000A7B52"/>
    <w:rsid w:val="000B04CE"/>
    <w:rsid w:val="000B0DDA"/>
    <w:rsid w:val="000B1987"/>
    <w:rsid w:val="000B2F65"/>
    <w:rsid w:val="000B31BD"/>
    <w:rsid w:val="000B33A5"/>
    <w:rsid w:val="000B3D39"/>
    <w:rsid w:val="000B40A3"/>
    <w:rsid w:val="000C0047"/>
    <w:rsid w:val="000C1B63"/>
    <w:rsid w:val="000C3332"/>
    <w:rsid w:val="000C3E75"/>
    <w:rsid w:val="000C4758"/>
    <w:rsid w:val="000C50D3"/>
    <w:rsid w:val="000C5794"/>
    <w:rsid w:val="000C74B9"/>
    <w:rsid w:val="000C76BE"/>
    <w:rsid w:val="000D24BC"/>
    <w:rsid w:val="000D2A7B"/>
    <w:rsid w:val="000D5530"/>
    <w:rsid w:val="000D5AE4"/>
    <w:rsid w:val="000D6464"/>
    <w:rsid w:val="000D7646"/>
    <w:rsid w:val="000D7E78"/>
    <w:rsid w:val="000E0462"/>
    <w:rsid w:val="000E04C8"/>
    <w:rsid w:val="000E0DA3"/>
    <w:rsid w:val="000E2182"/>
    <w:rsid w:val="000E3311"/>
    <w:rsid w:val="000E46BC"/>
    <w:rsid w:val="000E6349"/>
    <w:rsid w:val="000E663F"/>
    <w:rsid w:val="000E7045"/>
    <w:rsid w:val="000F09F1"/>
    <w:rsid w:val="000F170E"/>
    <w:rsid w:val="000F1803"/>
    <w:rsid w:val="000F1C06"/>
    <w:rsid w:val="000F1C13"/>
    <w:rsid w:val="000F3339"/>
    <w:rsid w:val="000F3595"/>
    <w:rsid w:val="000F36EC"/>
    <w:rsid w:val="000F383A"/>
    <w:rsid w:val="000F456F"/>
    <w:rsid w:val="000F4E4D"/>
    <w:rsid w:val="000F5209"/>
    <w:rsid w:val="000F70A3"/>
    <w:rsid w:val="000F7A51"/>
    <w:rsid w:val="00101148"/>
    <w:rsid w:val="00101563"/>
    <w:rsid w:val="00101B2E"/>
    <w:rsid w:val="00102D94"/>
    <w:rsid w:val="001043DF"/>
    <w:rsid w:val="001072E4"/>
    <w:rsid w:val="001074C6"/>
    <w:rsid w:val="00107BB1"/>
    <w:rsid w:val="00111743"/>
    <w:rsid w:val="00112135"/>
    <w:rsid w:val="00112FF7"/>
    <w:rsid w:val="00114419"/>
    <w:rsid w:val="0011471C"/>
    <w:rsid w:val="0011541F"/>
    <w:rsid w:val="00115A00"/>
    <w:rsid w:val="0011623E"/>
    <w:rsid w:val="0011647F"/>
    <w:rsid w:val="00117036"/>
    <w:rsid w:val="001172B6"/>
    <w:rsid w:val="00117FDA"/>
    <w:rsid w:val="001211B6"/>
    <w:rsid w:val="00121E91"/>
    <w:rsid w:val="00123B34"/>
    <w:rsid w:val="0012424B"/>
    <w:rsid w:val="00124668"/>
    <w:rsid w:val="0012658B"/>
    <w:rsid w:val="001274D6"/>
    <w:rsid w:val="00130870"/>
    <w:rsid w:val="00131206"/>
    <w:rsid w:val="001316C5"/>
    <w:rsid w:val="0013175B"/>
    <w:rsid w:val="00132746"/>
    <w:rsid w:val="0013337A"/>
    <w:rsid w:val="00133D13"/>
    <w:rsid w:val="0013508E"/>
    <w:rsid w:val="001361C1"/>
    <w:rsid w:val="0013679B"/>
    <w:rsid w:val="00136BBE"/>
    <w:rsid w:val="001411A7"/>
    <w:rsid w:val="001413E3"/>
    <w:rsid w:val="00141839"/>
    <w:rsid w:val="00150874"/>
    <w:rsid w:val="00150A4A"/>
    <w:rsid w:val="00151EDC"/>
    <w:rsid w:val="00152508"/>
    <w:rsid w:val="001525C7"/>
    <w:rsid w:val="001527EC"/>
    <w:rsid w:val="00152E9C"/>
    <w:rsid w:val="00153547"/>
    <w:rsid w:val="0015561D"/>
    <w:rsid w:val="00156634"/>
    <w:rsid w:val="00157996"/>
    <w:rsid w:val="00160828"/>
    <w:rsid w:val="00160C20"/>
    <w:rsid w:val="001613F5"/>
    <w:rsid w:val="001622C6"/>
    <w:rsid w:val="00162353"/>
    <w:rsid w:val="001637EC"/>
    <w:rsid w:val="001644FA"/>
    <w:rsid w:val="001657E3"/>
    <w:rsid w:val="00165DA2"/>
    <w:rsid w:val="0016681E"/>
    <w:rsid w:val="00166DDC"/>
    <w:rsid w:val="00167877"/>
    <w:rsid w:val="00167B9D"/>
    <w:rsid w:val="00171976"/>
    <w:rsid w:val="00171FA9"/>
    <w:rsid w:val="00172872"/>
    <w:rsid w:val="00172FBA"/>
    <w:rsid w:val="0017338B"/>
    <w:rsid w:val="0017363C"/>
    <w:rsid w:val="00173D84"/>
    <w:rsid w:val="00174401"/>
    <w:rsid w:val="00174753"/>
    <w:rsid w:val="001768D4"/>
    <w:rsid w:val="00180529"/>
    <w:rsid w:val="0018141E"/>
    <w:rsid w:val="00182266"/>
    <w:rsid w:val="00182282"/>
    <w:rsid w:val="0018375B"/>
    <w:rsid w:val="00183C29"/>
    <w:rsid w:val="00183E4C"/>
    <w:rsid w:val="00183FC0"/>
    <w:rsid w:val="00183FCF"/>
    <w:rsid w:val="0018454C"/>
    <w:rsid w:val="001854D7"/>
    <w:rsid w:val="00186743"/>
    <w:rsid w:val="00186937"/>
    <w:rsid w:val="00187B72"/>
    <w:rsid w:val="001905B7"/>
    <w:rsid w:val="00191564"/>
    <w:rsid w:val="00191754"/>
    <w:rsid w:val="00192339"/>
    <w:rsid w:val="0019248E"/>
    <w:rsid w:val="0019256E"/>
    <w:rsid w:val="0019345E"/>
    <w:rsid w:val="00195DF3"/>
    <w:rsid w:val="00196656"/>
    <w:rsid w:val="00197DFB"/>
    <w:rsid w:val="001A0D04"/>
    <w:rsid w:val="001A0F04"/>
    <w:rsid w:val="001A1660"/>
    <w:rsid w:val="001A274D"/>
    <w:rsid w:val="001A5397"/>
    <w:rsid w:val="001A6007"/>
    <w:rsid w:val="001A7362"/>
    <w:rsid w:val="001A79D7"/>
    <w:rsid w:val="001B05B7"/>
    <w:rsid w:val="001B1FE7"/>
    <w:rsid w:val="001B3831"/>
    <w:rsid w:val="001B4851"/>
    <w:rsid w:val="001B5C95"/>
    <w:rsid w:val="001B60A4"/>
    <w:rsid w:val="001B66B4"/>
    <w:rsid w:val="001B721B"/>
    <w:rsid w:val="001B7E15"/>
    <w:rsid w:val="001C0347"/>
    <w:rsid w:val="001C1DB6"/>
    <w:rsid w:val="001C30F5"/>
    <w:rsid w:val="001C37F6"/>
    <w:rsid w:val="001C37F9"/>
    <w:rsid w:val="001C3B8A"/>
    <w:rsid w:val="001C3CB2"/>
    <w:rsid w:val="001C4174"/>
    <w:rsid w:val="001C5E8F"/>
    <w:rsid w:val="001C6CA3"/>
    <w:rsid w:val="001C7925"/>
    <w:rsid w:val="001D0398"/>
    <w:rsid w:val="001D09D4"/>
    <w:rsid w:val="001D0F00"/>
    <w:rsid w:val="001D1B66"/>
    <w:rsid w:val="001D2430"/>
    <w:rsid w:val="001D34A9"/>
    <w:rsid w:val="001D4225"/>
    <w:rsid w:val="001D45D5"/>
    <w:rsid w:val="001D46A7"/>
    <w:rsid w:val="001D5AEE"/>
    <w:rsid w:val="001E0FE5"/>
    <w:rsid w:val="001E1CCB"/>
    <w:rsid w:val="001E3BFB"/>
    <w:rsid w:val="001E52CB"/>
    <w:rsid w:val="001E5E72"/>
    <w:rsid w:val="001F07C9"/>
    <w:rsid w:val="001F1B75"/>
    <w:rsid w:val="001F2CC2"/>
    <w:rsid w:val="001F59DB"/>
    <w:rsid w:val="001F71C5"/>
    <w:rsid w:val="001F72AB"/>
    <w:rsid w:val="001F78F2"/>
    <w:rsid w:val="001F7FF6"/>
    <w:rsid w:val="00200EC3"/>
    <w:rsid w:val="00201BD2"/>
    <w:rsid w:val="00201EE6"/>
    <w:rsid w:val="00202064"/>
    <w:rsid w:val="00203105"/>
    <w:rsid w:val="002034F8"/>
    <w:rsid w:val="002041B8"/>
    <w:rsid w:val="002045C8"/>
    <w:rsid w:val="00205376"/>
    <w:rsid w:val="00205D14"/>
    <w:rsid w:val="00206A59"/>
    <w:rsid w:val="002074D4"/>
    <w:rsid w:val="00207C77"/>
    <w:rsid w:val="00210D33"/>
    <w:rsid w:val="00211ADC"/>
    <w:rsid w:val="00213091"/>
    <w:rsid w:val="002138EF"/>
    <w:rsid w:val="00214CB5"/>
    <w:rsid w:val="00215368"/>
    <w:rsid w:val="00216FA1"/>
    <w:rsid w:val="002209B8"/>
    <w:rsid w:val="0022213B"/>
    <w:rsid w:val="002224AD"/>
    <w:rsid w:val="00222926"/>
    <w:rsid w:val="00222B21"/>
    <w:rsid w:val="00223F38"/>
    <w:rsid w:val="00223FFB"/>
    <w:rsid w:val="00224C53"/>
    <w:rsid w:val="00225B21"/>
    <w:rsid w:val="00225F85"/>
    <w:rsid w:val="00226157"/>
    <w:rsid w:val="00226BEC"/>
    <w:rsid w:val="00227F7E"/>
    <w:rsid w:val="002303DB"/>
    <w:rsid w:val="002339DF"/>
    <w:rsid w:val="0023527D"/>
    <w:rsid w:val="00235706"/>
    <w:rsid w:val="00236077"/>
    <w:rsid w:val="00236A25"/>
    <w:rsid w:val="002416C0"/>
    <w:rsid w:val="0024231B"/>
    <w:rsid w:val="00244577"/>
    <w:rsid w:val="0024479A"/>
    <w:rsid w:val="00245D30"/>
    <w:rsid w:val="00245EB0"/>
    <w:rsid w:val="00245FE4"/>
    <w:rsid w:val="0024600A"/>
    <w:rsid w:val="00247869"/>
    <w:rsid w:val="00254832"/>
    <w:rsid w:val="00255267"/>
    <w:rsid w:val="00255651"/>
    <w:rsid w:val="00261A1C"/>
    <w:rsid w:val="00264FBB"/>
    <w:rsid w:val="002654C3"/>
    <w:rsid w:val="002656DF"/>
    <w:rsid w:val="00266DBC"/>
    <w:rsid w:val="002672CC"/>
    <w:rsid w:val="00267CFE"/>
    <w:rsid w:val="00271ACC"/>
    <w:rsid w:val="002730A8"/>
    <w:rsid w:val="002745DB"/>
    <w:rsid w:val="00275CB2"/>
    <w:rsid w:val="00276CD9"/>
    <w:rsid w:val="002776BB"/>
    <w:rsid w:val="00280587"/>
    <w:rsid w:val="002814F2"/>
    <w:rsid w:val="002839D4"/>
    <w:rsid w:val="00284DC0"/>
    <w:rsid w:val="00285DBB"/>
    <w:rsid w:val="00286181"/>
    <w:rsid w:val="0028664D"/>
    <w:rsid w:val="00287519"/>
    <w:rsid w:val="002903DA"/>
    <w:rsid w:val="00290BFC"/>
    <w:rsid w:val="00290CE3"/>
    <w:rsid w:val="0029214F"/>
    <w:rsid w:val="00294A87"/>
    <w:rsid w:val="00295554"/>
    <w:rsid w:val="002963C2"/>
    <w:rsid w:val="00296F9A"/>
    <w:rsid w:val="002971F5"/>
    <w:rsid w:val="002A06A8"/>
    <w:rsid w:val="002A2D88"/>
    <w:rsid w:val="002A38A5"/>
    <w:rsid w:val="002A3CE0"/>
    <w:rsid w:val="002A4844"/>
    <w:rsid w:val="002A4958"/>
    <w:rsid w:val="002A5B67"/>
    <w:rsid w:val="002A5C58"/>
    <w:rsid w:val="002A609B"/>
    <w:rsid w:val="002B0176"/>
    <w:rsid w:val="002B0567"/>
    <w:rsid w:val="002B0DBD"/>
    <w:rsid w:val="002B44E9"/>
    <w:rsid w:val="002B671F"/>
    <w:rsid w:val="002B6EBA"/>
    <w:rsid w:val="002C0559"/>
    <w:rsid w:val="002C0C60"/>
    <w:rsid w:val="002C17CA"/>
    <w:rsid w:val="002C3ADA"/>
    <w:rsid w:val="002C41AA"/>
    <w:rsid w:val="002C47A8"/>
    <w:rsid w:val="002C54CA"/>
    <w:rsid w:val="002D17FD"/>
    <w:rsid w:val="002D31A8"/>
    <w:rsid w:val="002D37B9"/>
    <w:rsid w:val="002D5150"/>
    <w:rsid w:val="002D5E38"/>
    <w:rsid w:val="002D61F0"/>
    <w:rsid w:val="002E1351"/>
    <w:rsid w:val="002E18BF"/>
    <w:rsid w:val="002E34EF"/>
    <w:rsid w:val="002E49CE"/>
    <w:rsid w:val="002E5044"/>
    <w:rsid w:val="002E5085"/>
    <w:rsid w:val="002E5109"/>
    <w:rsid w:val="002E5206"/>
    <w:rsid w:val="002E60B6"/>
    <w:rsid w:val="002E6235"/>
    <w:rsid w:val="002E7C38"/>
    <w:rsid w:val="002F1D55"/>
    <w:rsid w:val="002F34B1"/>
    <w:rsid w:val="002F386C"/>
    <w:rsid w:val="002F48AC"/>
    <w:rsid w:val="002F54CB"/>
    <w:rsid w:val="002F6D11"/>
    <w:rsid w:val="002F7371"/>
    <w:rsid w:val="00303B53"/>
    <w:rsid w:val="00303B64"/>
    <w:rsid w:val="00304582"/>
    <w:rsid w:val="00304714"/>
    <w:rsid w:val="00304901"/>
    <w:rsid w:val="0030799E"/>
    <w:rsid w:val="0031058B"/>
    <w:rsid w:val="00310A03"/>
    <w:rsid w:val="00315C26"/>
    <w:rsid w:val="00315C38"/>
    <w:rsid w:val="00315FE2"/>
    <w:rsid w:val="00316602"/>
    <w:rsid w:val="00317550"/>
    <w:rsid w:val="00320935"/>
    <w:rsid w:val="0032184E"/>
    <w:rsid w:val="00321E0B"/>
    <w:rsid w:val="0032277E"/>
    <w:rsid w:val="0032279A"/>
    <w:rsid w:val="003233CB"/>
    <w:rsid w:val="0032534A"/>
    <w:rsid w:val="00325F59"/>
    <w:rsid w:val="00326C25"/>
    <w:rsid w:val="00326EC0"/>
    <w:rsid w:val="003270D8"/>
    <w:rsid w:val="0032767E"/>
    <w:rsid w:val="0033010C"/>
    <w:rsid w:val="003314E2"/>
    <w:rsid w:val="00331530"/>
    <w:rsid w:val="00331B63"/>
    <w:rsid w:val="0033265A"/>
    <w:rsid w:val="00334A19"/>
    <w:rsid w:val="00337454"/>
    <w:rsid w:val="0034155C"/>
    <w:rsid w:val="00342610"/>
    <w:rsid w:val="00342B73"/>
    <w:rsid w:val="00342E44"/>
    <w:rsid w:val="00343550"/>
    <w:rsid w:val="00345470"/>
    <w:rsid w:val="0034580A"/>
    <w:rsid w:val="00346971"/>
    <w:rsid w:val="00346F5E"/>
    <w:rsid w:val="003478E4"/>
    <w:rsid w:val="00352BDF"/>
    <w:rsid w:val="0035387E"/>
    <w:rsid w:val="00353A49"/>
    <w:rsid w:val="00354514"/>
    <w:rsid w:val="003557A1"/>
    <w:rsid w:val="00355960"/>
    <w:rsid w:val="003567C2"/>
    <w:rsid w:val="00356E3C"/>
    <w:rsid w:val="00356E60"/>
    <w:rsid w:val="003579F9"/>
    <w:rsid w:val="003618DC"/>
    <w:rsid w:val="003618E4"/>
    <w:rsid w:val="00362019"/>
    <w:rsid w:val="0036248D"/>
    <w:rsid w:val="00362FBD"/>
    <w:rsid w:val="003632D5"/>
    <w:rsid w:val="00363CDE"/>
    <w:rsid w:val="0036521A"/>
    <w:rsid w:val="00365391"/>
    <w:rsid w:val="003654ED"/>
    <w:rsid w:val="003669AF"/>
    <w:rsid w:val="00367FFE"/>
    <w:rsid w:val="00370174"/>
    <w:rsid w:val="003701C0"/>
    <w:rsid w:val="003717D5"/>
    <w:rsid w:val="0037290A"/>
    <w:rsid w:val="0037567C"/>
    <w:rsid w:val="00375F95"/>
    <w:rsid w:val="00381292"/>
    <w:rsid w:val="00383A28"/>
    <w:rsid w:val="003861C1"/>
    <w:rsid w:val="003863BD"/>
    <w:rsid w:val="00387525"/>
    <w:rsid w:val="0038762F"/>
    <w:rsid w:val="00390855"/>
    <w:rsid w:val="00391F75"/>
    <w:rsid w:val="003929A6"/>
    <w:rsid w:val="003A2318"/>
    <w:rsid w:val="003A2402"/>
    <w:rsid w:val="003A2C8B"/>
    <w:rsid w:val="003A307E"/>
    <w:rsid w:val="003A3968"/>
    <w:rsid w:val="003A3C08"/>
    <w:rsid w:val="003A3EA8"/>
    <w:rsid w:val="003A4D47"/>
    <w:rsid w:val="003A5177"/>
    <w:rsid w:val="003A6619"/>
    <w:rsid w:val="003A7052"/>
    <w:rsid w:val="003A7274"/>
    <w:rsid w:val="003B030E"/>
    <w:rsid w:val="003B0BAD"/>
    <w:rsid w:val="003B1FEE"/>
    <w:rsid w:val="003B2E27"/>
    <w:rsid w:val="003B3207"/>
    <w:rsid w:val="003B3277"/>
    <w:rsid w:val="003B55C9"/>
    <w:rsid w:val="003B5F36"/>
    <w:rsid w:val="003B7A3D"/>
    <w:rsid w:val="003C2CCF"/>
    <w:rsid w:val="003C3510"/>
    <w:rsid w:val="003C4F3D"/>
    <w:rsid w:val="003C7F3C"/>
    <w:rsid w:val="003D079A"/>
    <w:rsid w:val="003D0C4A"/>
    <w:rsid w:val="003D191E"/>
    <w:rsid w:val="003D1BAB"/>
    <w:rsid w:val="003D2027"/>
    <w:rsid w:val="003D262C"/>
    <w:rsid w:val="003D3E40"/>
    <w:rsid w:val="003D468D"/>
    <w:rsid w:val="003D4A97"/>
    <w:rsid w:val="003D5890"/>
    <w:rsid w:val="003D6B2F"/>
    <w:rsid w:val="003D6D67"/>
    <w:rsid w:val="003D71EF"/>
    <w:rsid w:val="003E013E"/>
    <w:rsid w:val="003E206A"/>
    <w:rsid w:val="003E2EF9"/>
    <w:rsid w:val="003E3626"/>
    <w:rsid w:val="003E42CB"/>
    <w:rsid w:val="003E67B5"/>
    <w:rsid w:val="003E6A93"/>
    <w:rsid w:val="003E6F2F"/>
    <w:rsid w:val="003E70D7"/>
    <w:rsid w:val="003E75C2"/>
    <w:rsid w:val="003F103D"/>
    <w:rsid w:val="003F20D2"/>
    <w:rsid w:val="003F2FDD"/>
    <w:rsid w:val="003F4968"/>
    <w:rsid w:val="003F7A0F"/>
    <w:rsid w:val="003F7DDC"/>
    <w:rsid w:val="00400AA8"/>
    <w:rsid w:val="0040141C"/>
    <w:rsid w:val="00403CDA"/>
    <w:rsid w:val="0040532B"/>
    <w:rsid w:val="00406969"/>
    <w:rsid w:val="00406D33"/>
    <w:rsid w:val="00407A67"/>
    <w:rsid w:val="004105E3"/>
    <w:rsid w:val="00410748"/>
    <w:rsid w:val="004108A8"/>
    <w:rsid w:val="00410A07"/>
    <w:rsid w:val="0041110E"/>
    <w:rsid w:val="00411565"/>
    <w:rsid w:val="0041596A"/>
    <w:rsid w:val="00417452"/>
    <w:rsid w:val="0041775A"/>
    <w:rsid w:val="004205BD"/>
    <w:rsid w:val="00420643"/>
    <w:rsid w:val="004206E8"/>
    <w:rsid w:val="0042090F"/>
    <w:rsid w:val="004222A4"/>
    <w:rsid w:val="004224A3"/>
    <w:rsid w:val="00424F79"/>
    <w:rsid w:val="00424FE9"/>
    <w:rsid w:val="00425F50"/>
    <w:rsid w:val="0042616C"/>
    <w:rsid w:val="004265AA"/>
    <w:rsid w:val="00430ADC"/>
    <w:rsid w:val="004311D5"/>
    <w:rsid w:val="0043344F"/>
    <w:rsid w:val="00435235"/>
    <w:rsid w:val="00435AB4"/>
    <w:rsid w:val="00435D9F"/>
    <w:rsid w:val="00436300"/>
    <w:rsid w:val="00436837"/>
    <w:rsid w:val="00436E19"/>
    <w:rsid w:val="00436F36"/>
    <w:rsid w:val="00437E7E"/>
    <w:rsid w:val="00441211"/>
    <w:rsid w:val="00441786"/>
    <w:rsid w:val="00441D8B"/>
    <w:rsid w:val="00442A6B"/>
    <w:rsid w:val="00442C76"/>
    <w:rsid w:val="00443221"/>
    <w:rsid w:val="00444B26"/>
    <w:rsid w:val="00445CFF"/>
    <w:rsid w:val="00447282"/>
    <w:rsid w:val="00447CE2"/>
    <w:rsid w:val="00450B53"/>
    <w:rsid w:val="0045159F"/>
    <w:rsid w:val="0045401F"/>
    <w:rsid w:val="0045578D"/>
    <w:rsid w:val="00463BB0"/>
    <w:rsid w:val="004643A6"/>
    <w:rsid w:val="00466D38"/>
    <w:rsid w:val="004709D8"/>
    <w:rsid w:val="00471343"/>
    <w:rsid w:val="004720C4"/>
    <w:rsid w:val="00472203"/>
    <w:rsid w:val="0047249B"/>
    <w:rsid w:val="00472DB8"/>
    <w:rsid w:val="0047389B"/>
    <w:rsid w:val="00473F9A"/>
    <w:rsid w:val="00475AC2"/>
    <w:rsid w:val="0047685B"/>
    <w:rsid w:val="0048020C"/>
    <w:rsid w:val="00483515"/>
    <w:rsid w:val="00486B9B"/>
    <w:rsid w:val="00486CF9"/>
    <w:rsid w:val="0049103B"/>
    <w:rsid w:val="004946BE"/>
    <w:rsid w:val="0049481E"/>
    <w:rsid w:val="0049518B"/>
    <w:rsid w:val="00495849"/>
    <w:rsid w:val="004A0524"/>
    <w:rsid w:val="004A074B"/>
    <w:rsid w:val="004A0E50"/>
    <w:rsid w:val="004A0F17"/>
    <w:rsid w:val="004A1111"/>
    <w:rsid w:val="004A21D6"/>
    <w:rsid w:val="004A2C87"/>
    <w:rsid w:val="004A3E12"/>
    <w:rsid w:val="004A3FCF"/>
    <w:rsid w:val="004A45B0"/>
    <w:rsid w:val="004A5213"/>
    <w:rsid w:val="004A6AE5"/>
    <w:rsid w:val="004A6B0D"/>
    <w:rsid w:val="004A7C4C"/>
    <w:rsid w:val="004A7EF2"/>
    <w:rsid w:val="004B0190"/>
    <w:rsid w:val="004B0CDD"/>
    <w:rsid w:val="004B0E45"/>
    <w:rsid w:val="004B101D"/>
    <w:rsid w:val="004B1FAE"/>
    <w:rsid w:val="004B2CCA"/>
    <w:rsid w:val="004B31CA"/>
    <w:rsid w:val="004B51EA"/>
    <w:rsid w:val="004B5315"/>
    <w:rsid w:val="004B5E1A"/>
    <w:rsid w:val="004B6A08"/>
    <w:rsid w:val="004B6A7E"/>
    <w:rsid w:val="004B6AE7"/>
    <w:rsid w:val="004C0A34"/>
    <w:rsid w:val="004C1C43"/>
    <w:rsid w:val="004C2406"/>
    <w:rsid w:val="004C2544"/>
    <w:rsid w:val="004C2A61"/>
    <w:rsid w:val="004C2FF8"/>
    <w:rsid w:val="004C3977"/>
    <w:rsid w:val="004C490D"/>
    <w:rsid w:val="004C4985"/>
    <w:rsid w:val="004C65CE"/>
    <w:rsid w:val="004D0C4B"/>
    <w:rsid w:val="004D29B6"/>
    <w:rsid w:val="004D2F79"/>
    <w:rsid w:val="004D38F1"/>
    <w:rsid w:val="004D3AB7"/>
    <w:rsid w:val="004D41B9"/>
    <w:rsid w:val="004D453A"/>
    <w:rsid w:val="004D56D2"/>
    <w:rsid w:val="004D5974"/>
    <w:rsid w:val="004D7B87"/>
    <w:rsid w:val="004E1496"/>
    <w:rsid w:val="004E1568"/>
    <w:rsid w:val="004E21D2"/>
    <w:rsid w:val="004E2F1A"/>
    <w:rsid w:val="004E344E"/>
    <w:rsid w:val="004E4AA5"/>
    <w:rsid w:val="004E4C99"/>
    <w:rsid w:val="004E4E4B"/>
    <w:rsid w:val="004E6544"/>
    <w:rsid w:val="004E66F1"/>
    <w:rsid w:val="004E6A9B"/>
    <w:rsid w:val="004E6E9E"/>
    <w:rsid w:val="004E7032"/>
    <w:rsid w:val="004E7645"/>
    <w:rsid w:val="004F00BD"/>
    <w:rsid w:val="004F020D"/>
    <w:rsid w:val="004F111B"/>
    <w:rsid w:val="004F14BF"/>
    <w:rsid w:val="004F1D95"/>
    <w:rsid w:val="004F2568"/>
    <w:rsid w:val="004F2A41"/>
    <w:rsid w:val="004F30C2"/>
    <w:rsid w:val="004F402B"/>
    <w:rsid w:val="004F4369"/>
    <w:rsid w:val="004F48A5"/>
    <w:rsid w:val="004F51B0"/>
    <w:rsid w:val="004F6AFA"/>
    <w:rsid w:val="004F7086"/>
    <w:rsid w:val="004F7637"/>
    <w:rsid w:val="0050285E"/>
    <w:rsid w:val="005029FF"/>
    <w:rsid w:val="00503099"/>
    <w:rsid w:val="0050370F"/>
    <w:rsid w:val="00504DB2"/>
    <w:rsid w:val="00505D6B"/>
    <w:rsid w:val="005060D0"/>
    <w:rsid w:val="0050668E"/>
    <w:rsid w:val="00506EC6"/>
    <w:rsid w:val="00510599"/>
    <w:rsid w:val="00510F23"/>
    <w:rsid w:val="0051167F"/>
    <w:rsid w:val="00512A7A"/>
    <w:rsid w:val="00514055"/>
    <w:rsid w:val="00514523"/>
    <w:rsid w:val="0051662C"/>
    <w:rsid w:val="00516D4C"/>
    <w:rsid w:val="00516E27"/>
    <w:rsid w:val="0051770B"/>
    <w:rsid w:val="0052122D"/>
    <w:rsid w:val="00521280"/>
    <w:rsid w:val="00522701"/>
    <w:rsid w:val="00523BBC"/>
    <w:rsid w:val="00524008"/>
    <w:rsid w:val="00526EAF"/>
    <w:rsid w:val="005278FD"/>
    <w:rsid w:val="00530326"/>
    <w:rsid w:val="00530A7C"/>
    <w:rsid w:val="00532DAD"/>
    <w:rsid w:val="00534742"/>
    <w:rsid w:val="00534B25"/>
    <w:rsid w:val="00536B1A"/>
    <w:rsid w:val="00536E46"/>
    <w:rsid w:val="00537C68"/>
    <w:rsid w:val="0054165E"/>
    <w:rsid w:val="00541CAA"/>
    <w:rsid w:val="00543EBF"/>
    <w:rsid w:val="005442CE"/>
    <w:rsid w:val="00544859"/>
    <w:rsid w:val="00544BF0"/>
    <w:rsid w:val="0054570F"/>
    <w:rsid w:val="00550162"/>
    <w:rsid w:val="00550BEF"/>
    <w:rsid w:val="00550C5B"/>
    <w:rsid w:val="00551560"/>
    <w:rsid w:val="0055230D"/>
    <w:rsid w:val="0055286C"/>
    <w:rsid w:val="00552E2F"/>
    <w:rsid w:val="00554253"/>
    <w:rsid w:val="005545BD"/>
    <w:rsid w:val="00556CBB"/>
    <w:rsid w:val="00557090"/>
    <w:rsid w:val="0055775B"/>
    <w:rsid w:val="00557CBE"/>
    <w:rsid w:val="00560435"/>
    <w:rsid w:val="0056121A"/>
    <w:rsid w:val="00561D65"/>
    <w:rsid w:val="00562472"/>
    <w:rsid w:val="00562641"/>
    <w:rsid w:val="005637B1"/>
    <w:rsid w:val="0056492D"/>
    <w:rsid w:val="0056623A"/>
    <w:rsid w:val="00566C39"/>
    <w:rsid w:val="00567DD2"/>
    <w:rsid w:val="005718D7"/>
    <w:rsid w:val="00572391"/>
    <w:rsid w:val="00575B79"/>
    <w:rsid w:val="00576299"/>
    <w:rsid w:val="00580B27"/>
    <w:rsid w:val="00582B12"/>
    <w:rsid w:val="00584406"/>
    <w:rsid w:val="00584BC4"/>
    <w:rsid w:val="00584DAC"/>
    <w:rsid w:val="00587EB6"/>
    <w:rsid w:val="005929CD"/>
    <w:rsid w:val="0059441A"/>
    <w:rsid w:val="00594D1E"/>
    <w:rsid w:val="0059640A"/>
    <w:rsid w:val="005A2670"/>
    <w:rsid w:val="005A32D1"/>
    <w:rsid w:val="005A4696"/>
    <w:rsid w:val="005A4A44"/>
    <w:rsid w:val="005A5024"/>
    <w:rsid w:val="005A6AE2"/>
    <w:rsid w:val="005A6B47"/>
    <w:rsid w:val="005A7091"/>
    <w:rsid w:val="005A7E3C"/>
    <w:rsid w:val="005B0BF6"/>
    <w:rsid w:val="005B0D3C"/>
    <w:rsid w:val="005B0F50"/>
    <w:rsid w:val="005B1266"/>
    <w:rsid w:val="005B1485"/>
    <w:rsid w:val="005B2767"/>
    <w:rsid w:val="005B2C11"/>
    <w:rsid w:val="005B3559"/>
    <w:rsid w:val="005B47CF"/>
    <w:rsid w:val="005B4D97"/>
    <w:rsid w:val="005B6F33"/>
    <w:rsid w:val="005B747A"/>
    <w:rsid w:val="005B77A4"/>
    <w:rsid w:val="005C0701"/>
    <w:rsid w:val="005C1F3A"/>
    <w:rsid w:val="005C2EA7"/>
    <w:rsid w:val="005C500F"/>
    <w:rsid w:val="005C54E9"/>
    <w:rsid w:val="005C5DAC"/>
    <w:rsid w:val="005C734A"/>
    <w:rsid w:val="005C7C10"/>
    <w:rsid w:val="005D1D2F"/>
    <w:rsid w:val="005D1DCD"/>
    <w:rsid w:val="005D367E"/>
    <w:rsid w:val="005D3ACE"/>
    <w:rsid w:val="005D446E"/>
    <w:rsid w:val="005D5249"/>
    <w:rsid w:val="005D5B87"/>
    <w:rsid w:val="005D6D62"/>
    <w:rsid w:val="005D78C8"/>
    <w:rsid w:val="005D7B4B"/>
    <w:rsid w:val="005E0B7E"/>
    <w:rsid w:val="005E0F3F"/>
    <w:rsid w:val="005E1C2C"/>
    <w:rsid w:val="005E2354"/>
    <w:rsid w:val="005E242E"/>
    <w:rsid w:val="005E4A0D"/>
    <w:rsid w:val="005E4BDE"/>
    <w:rsid w:val="005E5123"/>
    <w:rsid w:val="005E643A"/>
    <w:rsid w:val="005F02CB"/>
    <w:rsid w:val="005F1A6B"/>
    <w:rsid w:val="005F3009"/>
    <w:rsid w:val="005F37A1"/>
    <w:rsid w:val="005F3997"/>
    <w:rsid w:val="005F3C06"/>
    <w:rsid w:val="005F3DBF"/>
    <w:rsid w:val="005F43A9"/>
    <w:rsid w:val="005F5BFE"/>
    <w:rsid w:val="005F6B62"/>
    <w:rsid w:val="006002D9"/>
    <w:rsid w:val="006022B4"/>
    <w:rsid w:val="00602335"/>
    <w:rsid w:val="0060614C"/>
    <w:rsid w:val="00607DAF"/>
    <w:rsid w:val="006106F4"/>
    <w:rsid w:val="00610814"/>
    <w:rsid w:val="00611A38"/>
    <w:rsid w:val="0061221B"/>
    <w:rsid w:val="0061291A"/>
    <w:rsid w:val="00617E65"/>
    <w:rsid w:val="00620213"/>
    <w:rsid w:val="00620296"/>
    <w:rsid w:val="006203E7"/>
    <w:rsid w:val="00621834"/>
    <w:rsid w:val="006230D8"/>
    <w:rsid w:val="00625AC0"/>
    <w:rsid w:val="006279BC"/>
    <w:rsid w:val="00627F81"/>
    <w:rsid w:val="00627FF5"/>
    <w:rsid w:val="00630B88"/>
    <w:rsid w:val="0063415E"/>
    <w:rsid w:val="006345F6"/>
    <w:rsid w:val="00635F32"/>
    <w:rsid w:val="0063625C"/>
    <w:rsid w:val="0063716A"/>
    <w:rsid w:val="006418AB"/>
    <w:rsid w:val="006440DB"/>
    <w:rsid w:val="0064532E"/>
    <w:rsid w:val="006454A7"/>
    <w:rsid w:val="00645F78"/>
    <w:rsid w:val="00646E63"/>
    <w:rsid w:val="00650D9C"/>
    <w:rsid w:val="00652559"/>
    <w:rsid w:val="00653F66"/>
    <w:rsid w:val="0065727B"/>
    <w:rsid w:val="00660587"/>
    <w:rsid w:val="0066355D"/>
    <w:rsid w:val="0066379A"/>
    <w:rsid w:val="006653B6"/>
    <w:rsid w:val="00666680"/>
    <w:rsid w:val="0067113E"/>
    <w:rsid w:val="006723FE"/>
    <w:rsid w:val="006737AA"/>
    <w:rsid w:val="00673EAE"/>
    <w:rsid w:val="006756C3"/>
    <w:rsid w:val="00675AAE"/>
    <w:rsid w:val="006766E9"/>
    <w:rsid w:val="00676849"/>
    <w:rsid w:val="00676F26"/>
    <w:rsid w:val="00676FC7"/>
    <w:rsid w:val="00680453"/>
    <w:rsid w:val="00681867"/>
    <w:rsid w:val="00681D7B"/>
    <w:rsid w:val="0068303B"/>
    <w:rsid w:val="006841A2"/>
    <w:rsid w:val="00684CC9"/>
    <w:rsid w:val="00685044"/>
    <w:rsid w:val="00685D75"/>
    <w:rsid w:val="0068705B"/>
    <w:rsid w:val="00687085"/>
    <w:rsid w:val="00690748"/>
    <w:rsid w:val="006926D3"/>
    <w:rsid w:val="00692B4A"/>
    <w:rsid w:val="00695A3C"/>
    <w:rsid w:val="0069696C"/>
    <w:rsid w:val="00696EE5"/>
    <w:rsid w:val="006972A0"/>
    <w:rsid w:val="00697C07"/>
    <w:rsid w:val="006A0432"/>
    <w:rsid w:val="006A0F27"/>
    <w:rsid w:val="006A2432"/>
    <w:rsid w:val="006A2EAF"/>
    <w:rsid w:val="006A33FF"/>
    <w:rsid w:val="006A4DF4"/>
    <w:rsid w:val="006A5C17"/>
    <w:rsid w:val="006A63D0"/>
    <w:rsid w:val="006A6C19"/>
    <w:rsid w:val="006B0CA5"/>
    <w:rsid w:val="006B1493"/>
    <w:rsid w:val="006B2368"/>
    <w:rsid w:val="006B2480"/>
    <w:rsid w:val="006B2723"/>
    <w:rsid w:val="006B29FD"/>
    <w:rsid w:val="006B33F3"/>
    <w:rsid w:val="006B4241"/>
    <w:rsid w:val="006B5335"/>
    <w:rsid w:val="006B5D7B"/>
    <w:rsid w:val="006C01E2"/>
    <w:rsid w:val="006C06E3"/>
    <w:rsid w:val="006C2030"/>
    <w:rsid w:val="006C2ECF"/>
    <w:rsid w:val="006C508A"/>
    <w:rsid w:val="006C644E"/>
    <w:rsid w:val="006C68D4"/>
    <w:rsid w:val="006C6942"/>
    <w:rsid w:val="006D0250"/>
    <w:rsid w:val="006D029A"/>
    <w:rsid w:val="006D0FDC"/>
    <w:rsid w:val="006D29B9"/>
    <w:rsid w:val="006D2AF8"/>
    <w:rsid w:val="006D679F"/>
    <w:rsid w:val="006E0CF6"/>
    <w:rsid w:val="006E2EC8"/>
    <w:rsid w:val="006E3464"/>
    <w:rsid w:val="006E4EAF"/>
    <w:rsid w:val="006E5459"/>
    <w:rsid w:val="006F0087"/>
    <w:rsid w:val="006F0842"/>
    <w:rsid w:val="006F0A46"/>
    <w:rsid w:val="006F2091"/>
    <w:rsid w:val="006F31C2"/>
    <w:rsid w:val="006F4B2E"/>
    <w:rsid w:val="006F529B"/>
    <w:rsid w:val="006F55F4"/>
    <w:rsid w:val="006F592D"/>
    <w:rsid w:val="006F6525"/>
    <w:rsid w:val="006F719B"/>
    <w:rsid w:val="00705DEF"/>
    <w:rsid w:val="0070645D"/>
    <w:rsid w:val="00706B26"/>
    <w:rsid w:val="00707147"/>
    <w:rsid w:val="00707CAC"/>
    <w:rsid w:val="007101DB"/>
    <w:rsid w:val="007116C5"/>
    <w:rsid w:val="00712DBD"/>
    <w:rsid w:val="0071498A"/>
    <w:rsid w:val="00715D14"/>
    <w:rsid w:val="00716E2D"/>
    <w:rsid w:val="0071721E"/>
    <w:rsid w:val="00720F42"/>
    <w:rsid w:val="00721368"/>
    <w:rsid w:val="00723852"/>
    <w:rsid w:val="00723EB2"/>
    <w:rsid w:val="00724265"/>
    <w:rsid w:val="007242B6"/>
    <w:rsid w:val="00724397"/>
    <w:rsid w:val="007256BE"/>
    <w:rsid w:val="00725744"/>
    <w:rsid w:val="007263F9"/>
    <w:rsid w:val="00726705"/>
    <w:rsid w:val="00730904"/>
    <w:rsid w:val="00731445"/>
    <w:rsid w:val="007324DF"/>
    <w:rsid w:val="0073434A"/>
    <w:rsid w:val="00736BB2"/>
    <w:rsid w:val="00740969"/>
    <w:rsid w:val="00742205"/>
    <w:rsid w:val="0074225A"/>
    <w:rsid w:val="007439F3"/>
    <w:rsid w:val="00743EEC"/>
    <w:rsid w:val="00744CF8"/>
    <w:rsid w:val="00747BC2"/>
    <w:rsid w:val="00750DC6"/>
    <w:rsid w:val="007510F7"/>
    <w:rsid w:val="00751FE7"/>
    <w:rsid w:val="00754873"/>
    <w:rsid w:val="0075676F"/>
    <w:rsid w:val="00756E98"/>
    <w:rsid w:val="0076103B"/>
    <w:rsid w:val="007614A2"/>
    <w:rsid w:val="00761783"/>
    <w:rsid w:val="007635E5"/>
    <w:rsid w:val="00764CE4"/>
    <w:rsid w:val="007650FA"/>
    <w:rsid w:val="00767029"/>
    <w:rsid w:val="007670B8"/>
    <w:rsid w:val="00767574"/>
    <w:rsid w:val="007715B0"/>
    <w:rsid w:val="007723C9"/>
    <w:rsid w:val="00772E5F"/>
    <w:rsid w:val="007735A4"/>
    <w:rsid w:val="00773DD6"/>
    <w:rsid w:val="00774E50"/>
    <w:rsid w:val="00777885"/>
    <w:rsid w:val="00781363"/>
    <w:rsid w:val="007815ED"/>
    <w:rsid w:val="00783257"/>
    <w:rsid w:val="00783EDB"/>
    <w:rsid w:val="00784269"/>
    <w:rsid w:val="00784C26"/>
    <w:rsid w:val="00787DD8"/>
    <w:rsid w:val="007900F0"/>
    <w:rsid w:val="00790114"/>
    <w:rsid w:val="00791C07"/>
    <w:rsid w:val="007925A1"/>
    <w:rsid w:val="00792A20"/>
    <w:rsid w:val="007932B2"/>
    <w:rsid w:val="00793EEF"/>
    <w:rsid w:val="00793F39"/>
    <w:rsid w:val="007953EF"/>
    <w:rsid w:val="007956B7"/>
    <w:rsid w:val="007A104C"/>
    <w:rsid w:val="007A1FD8"/>
    <w:rsid w:val="007A232F"/>
    <w:rsid w:val="007A25B1"/>
    <w:rsid w:val="007A2C68"/>
    <w:rsid w:val="007A4B4F"/>
    <w:rsid w:val="007A58BC"/>
    <w:rsid w:val="007A7FAF"/>
    <w:rsid w:val="007B0252"/>
    <w:rsid w:val="007B1455"/>
    <w:rsid w:val="007B1D46"/>
    <w:rsid w:val="007B2353"/>
    <w:rsid w:val="007B25B9"/>
    <w:rsid w:val="007B5245"/>
    <w:rsid w:val="007B5E1C"/>
    <w:rsid w:val="007B5FC5"/>
    <w:rsid w:val="007B6C38"/>
    <w:rsid w:val="007B709D"/>
    <w:rsid w:val="007B78E2"/>
    <w:rsid w:val="007C0A29"/>
    <w:rsid w:val="007C3784"/>
    <w:rsid w:val="007C3E32"/>
    <w:rsid w:val="007C528C"/>
    <w:rsid w:val="007C630C"/>
    <w:rsid w:val="007C6CFE"/>
    <w:rsid w:val="007C767E"/>
    <w:rsid w:val="007C7D50"/>
    <w:rsid w:val="007D0640"/>
    <w:rsid w:val="007D0DA8"/>
    <w:rsid w:val="007D2078"/>
    <w:rsid w:val="007D582A"/>
    <w:rsid w:val="007E02F7"/>
    <w:rsid w:val="007E0769"/>
    <w:rsid w:val="007E0807"/>
    <w:rsid w:val="007E0C4D"/>
    <w:rsid w:val="007E0E04"/>
    <w:rsid w:val="007E1493"/>
    <w:rsid w:val="007E3875"/>
    <w:rsid w:val="007E4453"/>
    <w:rsid w:val="007E5C28"/>
    <w:rsid w:val="007E7A5D"/>
    <w:rsid w:val="007F17C3"/>
    <w:rsid w:val="007F255B"/>
    <w:rsid w:val="007F2D31"/>
    <w:rsid w:val="007F336D"/>
    <w:rsid w:val="007F7201"/>
    <w:rsid w:val="00803992"/>
    <w:rsid w:val="00804183"/>
    <w:rsid w:val="0080440D"/>
    <w:rsid w:val="008046CF"/>
    <w:rsid w:val="00805988"/>
    <w:rsid w:val="00805CFA"/>
    <w:rsid w:val="008064B0"/>
    <w:rsid w:val="00810D0A"/>
    <w:rsid w:val="00811AF7"/>
    <w:rsid w:val="008130FB"/>
    <w:rsid w:val="0081441D"/>
    <w:rsid w:val="00814E30"/>
    <w:rsid w:val="00815019"/>
    <w:rsid w:val="008155EA"/>
    <w:rsid w:val="00815742"/>
    <w:rsid w:val="00815FC2"/>
    <w:rsid w:val="00816AA9"/>
    <w:rsid w:val="008208FC"/>
    <w:rsid w:val="00822ABD"/>
    <w:rsid w:val="008231C8"/>
    <w:rsid w:val="008236CD"/>
    <w:rsid w:val="00823F54"/>
    <w:rsid w:val="00824D30"/>
    <w:rsid w:val="00826583"/>
    <w:rsid w:val="00831289"/>
    <w:rsid w:val="00831A51"/>
    <w:rsid w:val="00836CEC"/>
    <w:rsid w:val="00841C1F"/>
    <w:rsid w:val="00842A0F"/>
    <w:rsid w:val="00842C99"/>
    <w:rsid w:val="00842F49"/>
    <w:rsid w:val="0084351F"/>
    <w:rsid w:val="00843FA4"/>
    <w:rsid w:val="0084443C"/>
    <w:rsid w:val="00844807"/>
    <w:rsid w:val="00844DEB"/>
    <w:rsid w:val="00845313"/>
    <w:rsid w:val="00846478"/>
    <w:rsid w:val="00847899"/>
    <w:rsid w:val="00854C8A"/>
    <w:rsid w:val="00855D60"/>
    <w:rsid w:val="00856B65"/>
    <w:rsid w:val="00857D05"/>
    <w:rsid w:val="00860592"/>
    <w:rsid w:val="00861C26"/>
    <w:rsid w:val="00865782"/>
    <w:rsid w:val="00865D9D"/>
    <w:rsid w:val="00866D0A"/>
    <w:rsid w:val="00866D4E"/>
    <w:rsid w:val="008671C5"/>
    <w:rsid w:val="00867834"/>
    <w:rsid w:val="00870393"/>
    <w:rsid w:val="008733A3"/>
    <w:rsid w:val="008733E2"/>
    <w:rsid w:val="00873EC2"/>
    <w:rsid w:val="0087425C"/>
    <w:rsid w:val="008742FD"/>
    <w:rsid w:val="00874956"/>
    <w:rsid w:val="0087580F"/>
    <w:rsid w:val="00875B37"/>
    <w:rsid w:val="00880A31"/>
    <w:rsid w:val="00880E5C"/>
    <w:rsid w:val="0088147C"/>
    <w:rsid w:val="00881A06"/>
    <w:rsid w:val="00882919"/>
    <w:rsid w:val="008835C4"/>
    <w:rsid w:val="0088398B"/>
    <w:rsid w:val="00883A0F"/>
    <w:rsid w:val="00883BB3"/>
    <w:rsid w:val="0088419A"/>
    <w:rsid w:val="00884597"/>
    <w:rsid w:val="00884AF8"/>
    <w:rsid w:val="00886101"/>
    <w:rsid w:val="00886804"/>
    <w:rsid w:val="008878D2"/>
    <w:rsid w:val="008917DC"/>
    <w:rsid w:val="00893967"/>
    <w:rsid w:val="00893D7D"/>
    <w:rsid w:val="00894785"/>
    <w:rsid w:val="008957CF"/>
    <w:rsid w:val="0089761A"/>
    <w:rsid w:val="008A0362"/>
    <w:rsid w:val="008A0AF7"/>
    <w:rsid w:val="008A17DB"/>
    <w:rsid w:val="008A411D"/>
    <w:rsid w:val="008A4B6E"/>
    <w:rsid w:val="008A5227"/>
    <w:rsid w:val="008A5923"/>
    <w:rsid w:val="008A5B1D"/>
    <w:rsid w:val="008A5E1D"/>
    <w:rsid w:val="008A7BDA"/>
    <w:rsid w:val="008A7F77"/>
    <w:rsid w:val="008B08FB"/>
    <w:rsid w:val="008B0B2B"/>
    <w:rsid w:val="008B2B7E"/>
    <w:rsid w:val="008B34AE"/>
    <w:rsid w:val="008B3714"/>
    <w:rsid w:val="008B4559"/>
    <w:rsid w:val="008B4FED"/>
    <w:rsid w:val="008B7A8E"/>
    <w:rsid w:val="008C1DE1"/>
    <w:rsid w:val="008C1EE5"/>
    <w:rsid w:val="008C2780"/>
    <w:rsid w:val="008C2DCA"/>
    <w:rsid w:val="008C5C00"/>
    <w:rsid w:val="008C78B7"/>
    <w:rsid w:val="008D180D"/>
    <w:rsid w:val="008D2109"/>
    <w:rsid w:val="008D227C"/>
    <w:rsid w:val="008D70E3"/>
    <w:rsid w:val="008E062A"/>
    <w:rsid w:val="008E07D3"/>
    <w:rsid w:val="008E0B77"/>
    <w:rsid w:val="008E13B8"/>
    <w:rsid w:val="008E3310"/>
    <w:rsid w:val="008E4DA4"/>
    <w:rsid w:val="008E5886"/>
    <w:rsid w:val="008E5C9B"/>
    <w:rsid w:val="008F0D46"/>
    <w:rsid w:val="008F25E9"/>
    <w:rsid w:val="008F357F"/>
    <w:rsid w:val="008F37B9"/>
    <w:rsid w:val="008F5149"/>
    <w:rsid w:val="008F6569"/>
    <w:rsid w:val="008F6984"/>
    <w:rsid w:val="008F6CAF"/>
    <w:rsid w:val="008F7A0E"/>
    <w:rsid w:val="0090126A"/>
    <w:rsid w:val="00901A62"/>
    <w:rsid w:val="00901F51"/>
    <w:rsid w:val="00904E56"/>
    <w:rsid w:val="00904F1D"/>
    <w:rsid w:val="00905F1E"/>
    <w:rsid w:val="00906DFA"/>
    <w:rsid w:val="00910019"/>
    <w:rsid w:val="00910F7F"/>
    <w:rsid w:val="00911BD5"/>
    <w:rsid w:val="00911E90"/>
    <w:rsid w:val="00912628"/>
    <w:rsid w:val="00912E9B"/>
    <w:rsid w:val="00912F6C"/>
    <w:rsid w:val="00913439"/>
    <w:rsid w:val="00913915"/>
    <w:rsid w:val="00915954"/>
    <w:rsid w:val="009170F5"/>
    <w:rsid w:val="00917E66"/>
    <w:rsid w:val="00917F43"/>
    <w:rsid w:val="00921967"/>
    <w:rsid w:val="009220C3"/>
    <w:rsid w:val="00922960"/>
    <w:rsid w:val="009245AE"/>
    <w:rsid w:val="009260AD"/>
    <w:rsid w:val="0092622A"/>
    <w:rsid w:val="009263C2"/>
    <w:rsid w:val="00927249"/>
    <w:rsid w:val="0093019B"/>
    <w:rsid w:val="00931146"/>
    <w:rsid w:val="009316D1"/>
    <w:rsid w:val="0093212F"/>
    <w:rsid w:val="00932AC8"/>
    <w:rsid w:val="0093387A"/>
    <w:rsid w:val="009348F1"/>
    <w:rsid w:val="00934B52"/>
    <w:rsid w:val="00936340"/>
    <w:rsid w:val="009404DC"/>
    <w:rsid w:val="00940D51"/>
    <w:rsid w:val="00942039"/>
    <w:rsid w:val="00943284"/>
    <w:rsid w:val="00945C97"/>
    <w:rsid w:val="0094719C"/>
    <w:rsid w:val="00947BBE"/>
    <w:rsid w:val="00950E70"/>
    <w:rsid w:val="00951503"/>
    <w:rsid w:val="00951EB8"/>
    <w:rsid w:val="009533D0"/>
    <w:rsid w:val="00954FF3"/>
    <w:rsid w:val="00955158"/>
    <w:rsid w:val="00955224"/>
    <w:rsid w:val="009566C0"/>
    <w:rsid w:val="00960314"/>
    <w:rsid w:val="0096162B"/>
    <w:rsid w:val="009619AB"/>
    <w:rsid w:val="00964F94"/>
    <w:rsid w:val="00965287"/>
    <w:rsid w:val="0096535F"/>
    <w:rsid w:val="009664BB"/>
    <w:rsid w:val="00966DE9"/>
    <w:rsid w:val="00967ED2"/>
    <w:rsid w:val="00970448"/>
    <w:rsid w:val="00971D11"/>
    <w:rsid w:val="00972462"/>
    <w:rsid w:val="0097252D"/>
    <w:rsid w:val="00972DD9"/>
    <w:rsid w:val="009733FB"/>
    <w:rsid w:val="00975004"/>
    <w:rsid w:val="009752FB"/>
    <w:rsid w:val="00977009"/>
    <w:rsid w:val="009770D8"/>
    <w:rsid w:val="00977432"/>
    <w:rsid w:val="009818B8"/>
    <w:rsid w:val="00982516"/>
    <w:rsid w:val="00984CE9"/>
    <w:rsid w:val="0098533B"/>
    <w:rsid w:val="00986D87"/>
    <w:rsid w:val="00986F24"/>
    <w:rsid w:val="009910E0"/>
    <w:rsid w:val="00991353"/>
    <w:rsid w:val="0099191B"/>
    <w:rsid w:val="00991DF5"/>
    <w:rsid w:val="00992303"/>
    <w:rsid w:val="00993EDB"/>
    <w:rsid w:val="00994813"/>
    <w:rsid w:val="009954A1"/>
    <w:rsid w:val="00995FC0"/>
    <w:rsid w:val="00996CAE"/>
    <w:rsid w:val="009A05E6"/>
    <w:rsid w:val="009A21D0"/>
    <w:rsid w:val="009A2E04"/>
    <w:rsid w:val="009A45D3"/>
    <w:rsid w:val="009A5652"/>
    <w:rsid w:val="009A6478"/>
    <w:rsid w:val="009A6FA1"/>
    <w:rsid w:val="009A7791"/>
    <w:rsid w:val="009B0F6D"/>
    <w:rsid w:val="009B1307"/>
    <w:rsid w:val="009B2A33"/>
    <w:rsid w:val="009B44B9"/>
    <w:rsid w:val="009B653E"/>
    <w:rsid w:val="009B731A"/>
    <w:rsid w:val="009C0268"/>
    <w:rsid w:val="009C14AD"/>
    <w:rsid w:val="009C2781"/>
    <w:rsid w:val="009C2D00"/>
    <w:rsid w:val="009C403B"/>
    <w:rsid w:val="009C5808"/>
    <w:rsid w:val="009C6A5A"/>
    <w:rsid w:val="009C7533"/>
    <w:rsid w:val="009C7800"/>
    <w:rsid w:val="009D0462"/>
    <w:rsid w:val="009D0713"/>
    <w:rsid w:val="009D0C6E"/>
    <w:rsid w:val="009D0F60"/>
    <w:rsid w:val="009D296A"/>
    <w:rsid w:val="009D2D93"/>
    <w:rsid w:val="009D424D"/>
    <w:rsid w:val="009D4936"/>
    <w:rsid w:val="009D4D21"/>
    <w:rsid w:val="009D572F"/>
    <w:rsid w:val="009D75C0"/>
    <w:rsid w:val="009E055F"/>
    <w:rsid w:val="009E1AEA"/>
    <w:rsid w:val="009E1B16"/>
    <w:rsid w:val="009E41A1"/>
    <w:rsid w:val="009E6DB6"/>
    <w:rsid w:val="009F058B"/>
    <w:rsid w:val="009F0816"/>
    <w:rsid w:val="009F0876"/>
    <w:rsid w:val="009F0B84"/>
    <w:rsid w:val="009F25C5"/>
    <w:rsid w:val="009F268B"/>
    <w:rsid w:val="009F5815"/>
    <w:rsid w:val="009F5AF0"/>
    <w:rsid w:val="009F5C57"/>
    <w:rsid w:val="009F6528"/>
    <w:rsid w:val="009F7B68"/>
    <w:rsid w:val="00A00BDE"/>
    <w:rsid w:val="00A00FFD"/>
    <w:rsid w:val="00A025DF"/>
    <w:rsid w:val="00A03435"/>
    <w:rsid w:val="00A03803"/>
    <w:rsid w:val="00A045E7"/>
    <w:rsid w:val="00A04705"/>
    <w:rsid w:val="00A04DF6"/>
    <w:rsid w:val="00A04F2C"/>
    <w:rsid w:val="00A05338"/>
    <w:rsid w:val="00A05EF3"/>
    <w:rsid w:val="00A070A8"/>
    <w:rsid w:val="00A0785C"/>
    <w:rsid w:val="00A0790A"/>
    <w:rsid w:val="00A07B02"/>
    <w:rsid w:val="00A1305B"/>
    <w:rsid w:val="00A142CC"/>
    <w:rsid w:val="00A146A1"/>
    <w:rsid w:val="00A16196"/>
    <w:rsid w:val="00A166FC"/>
    <w:rsid w:val="00A203F0"/>
    <w:rsid w:val="00A20A67"/>
    <w:rsid w:val="00A220D5"/>
    <w:rsid w:val="00A22B31"/>
    <w:rsid w:val="00A22CB3"/>
    <w:rsid w:val="00A23192"/>
    <w:rsid w:val="00A23BA0"/>
    <w:rsid w:val="00A23C7A"/>
    <w:rsid w:val="00A24375"/>
    <w:rsid w:val="00A24E51"/>
    <w:rsid w:val="00A24E63"/>
    <w:rsid w:val="00A24F60"/>
    <w:rsid w:val="00A25ED6"/>
    <w:rsid w:val="00A274A2"/>
    <w:rsid w:val="00A279A0"/>
    <w:rsid w:val="00A27E50"/>
    <w:rsid w:val="00A3131E"/>
    <w:rsid w:val="00A315E6"/>
    <w:rsid w:val="00A326A1"/>
    <w:rsid w:val="00A33577"/>
    <w:rsid w:val="00A337E6"/>
    <w:rsid w:val="00A34469"/>
    <w:rsid w:val="00A34E86"/>
    <w:rsid w:val="00A36FF0"/>
    <w:rsid w:val="00A370D2"/>
    <w:rsid w:val="00A3781C"/>
    <w:rsid w:val="00A418E8"/>
    <w:rsid w:val="00A42F37"/>
    <w:rsid w:val="00A44563"/>
    <w:rsid w:val="00A46406"/>
    <w:rsid w:val="00A469C6"/>
    <w:rsid w:val="00A50023"/>
    <w:rsid w:val="00A516B6"/>
    <w:rsid w:val="00A52544"/>
    <w:rsid w:val="00A52818"/>
    <w:rsid w:val="00A529A0"/>
    <w:rsid w:val="00A52A81"/>
    <w:rsid w:val="00A538DD"/>
    <w:rsid w:val="00A542ED"/>
    <w:rsid w:val="00A5518F"/>
    <w:rsid w:val="00A5556F"/>
    <w:rsid w:val="00A626EF"/>
    <w:rsid w:val="00A63C9C"/>
    <w:rsid w:val="00A64CA3"/>
    <w:rsid w:val="00A657A7"/>
    <w:rsid w:val="00A66ABE"/>
    <w:rsid w:val="00A678AF"/>
    <w:rsid w:val="00A71359"/>
    <w:rsid w:val="00A71D2E"/>
    <w:rsid w:val="00A722C3"/>
    <w:rsid w:val="00A73E3F"/>
    <w:rsid w:val="00A74E0A"/>
    <w:rsid w:val="00A77ACB"/>
    <w:rsid w:val="00A80BA8"/>
    <w:rsid w:val="00A814FB"/>
    <w:rsid w:val="00A82C90"/>
    <w:rsid w:val="00A83C2A"/>
    <w:rsid w:val="00A85D46"/>
    <w:rsid w:val="00A85E48"/>
    <w:rsid w:val="00A87CB8"/>
    <w:rsid w:val="00A910A7"/>
    <w:rsid w:val="00A91DBC"/>
    <w:rsid w:val="00A95F46"/>
    <w:rsid w:val="00AA0B89"/>
    <w:rsid w:val="00AA10B8"/>
    <w:rsid w:val="00AA1638"/>
    <w:rsid w:val="00AA1F52"/>
    <w:rsid w:val="00AA347F"/>
    <w:rsid w:val="00AA405C"/>
    <w:rsid w:val="00AA4454"/>
    <w:rsid w:val="00AA5308"/>
    <w:rsid w:val="00AB04F8"/>
    <w:rsid w:val="00AB36D4"/>
    <w:rsid w:val="00AB3E61"/>
    <w:rsid w:val="00AB64D1"/>
    <w:rsid w:val="00AB6DA5"/>
    <w:rsid w:val="00AC0331"/>
    <w:rsid w:val="00AC0BA0"/>
    <w:rsid w:val="00AC1213"/>
    <w:rsid w:val="00AC1D0C"/>
    <w:rsid w:val="00AC277D"/>
    <w:rsid w:val="00AC34A1"/>
    <w:rsid w:val="00AC4497"/>
    <w:rsid w:val="00AC611E"/>
    <w:rsid w:val="00AC7D98"/>
    <w:rsid w:val="00AC7F58"/>
    <w:rsid w:val="00AD0BF3"/>
    <w:rsid w:val="00AD3BD5"/>
    <w:rsid w:val="00AD3E5F"/>
    <w:rsid w:val="00AD3FE7"/>
    <w:rsid w:val="00AD44E3"/>
    <w:rsid w:val="00AD4566"/>
    <w:rsid w:val="00AD4BBD"/>
    <w:rsid w:val="00AD5540"/>
    <w:rsid w:val="00AD59F4"/>
    <w:rsid w:val="00AE0D1C"/>
    <w:rsid w:val="00AE134E"/>
    <w:rsid w:val="00AE3B58"/>
    <w:rsid w:val="00AE4F10"/>
    <w:rsid w:val="00AE65EB"/>
    <w:rsid w:val="00AE6B62"/>
    <w:rsid w:val="00AE7991"/>
    <w:rsid w:val="00AE7D13"/>
    <w:rsid w:val="00AF27F6"/>
    <w:rsid w:val="00AF2CB1"/>
    <w:rsid w:val="00AF2EBA"/>
    <w:rsid w:val="00AF4BD8"/>
    <w:rsid w:val="00AF645A"/>
    <w:rsid w:val="00AF73CC"/>
    <w:rsid w:val="00B00E03"/>
    <w:rsid w:val="00B013B0"/>
    <w:rsid w:val="00B01BC7"/>
    <w:rsid w:val="00B03127"/>
    <w:rsid w:val="00B042C4"/>
    <w:rsid w:val="00B05AD1"/>
    <w:rsid w:val="00B0666B"/>
    <w:rsid w:val="00B071F4"/>
    <w:rsid w:val="00B14797"/>
    <w:rsid w:val="00B15B9B"/>
    <w:rsid w:val="00B20461"/>
    <w:rsid w:val="00B2091B"/>
    <w:rsid w:val="00B24141"/>
    <w:rsid w:val="00B241E2"/>
    <w:rsid w:val="00B2452B"/>
    <w:rsid w:val="00B30275"/>
    <w:rsid w:val="00B30EA9"/>
    <w:rsid w:val="00B310C0"/>
    <w:rsid w:val="00B31B31"/>
    <w:rsid w:val="00B32AA0"/>
    <w:rsid w:val="00B33D0B"/>
    <w:rsid w:val="00B3559A"/>
    <w:rsid w:val="00B35DDA"/>
    <w:rsid w:val="00B3651B"/>
    <w:rsid w:val="00B36534"/>
    <w:rsid w:val="00B36FFC"/>
    <w:rsid w:val="00B37B39"/>
    <w:rsid w:val="00B42A73"/>
    <w:rsid w:val="00B42DE5"/>
    <w:rsid w:val="00B44D1C"/>
    <w:rsid w:val="00B450D4"/>
    <w:rsid w:val="00B4546F"/>
    <w:rsid w:val="00B458F6"/>
    <w:rsid w:val="00B468F7"/>
    <w:rsid w:val="00B47321"/>
    <w:rsid w:val="00B505D0"/>
    <w:rsid w:val="00B509CC"/>
    <w:rsid w:val="00B5137A"/>
    <w:rsid w:val="00B519D9"/>
    <w:rsid w:val="00B519EF"/>
    <w:rsid w:val="00B51BE6"/>
    <w:rsid w:val="00B5286A"/>
    <w:rsid w:val="00B53185"/>
    <w:rsid w:val="00B54439"/>
    <w:rsid w:val="00B54FCF"/>
    <w:rsid w:val="00B565D2"/>
    <w:rsid w:val="00B56F5B"/>
    <w:rsid w:val="00B579AB"/>
    <w:rsid w:val="00B615B9"/>
    <w:rsid w:val="00B6178E"/>
    <w:rsid w:val="00B647F7"/>
    <w:rsid w:val="00B65972"/>
    <w:rsid w:val="00B65EAC"/>
    <w:rsid w:val="00B707A6"/>
    <w:rsid w:val="00B710F4"/>
    <w:rsid w:val="00B7114E"/>
    <w:rsid w:val="00B7304A"/>
    <w:rsid w:val="00B751A3"/>
    <w:rsid w:val="00B75CD3"/>
    <w:rsid w:val="00B763DD"/>
    <w:rsid w:val="00B766E3"/>
    <w:rsid w:val="00B8013C"/>
    <w:rsid w:val="00B80747"/>
    <w:rsid w:val="00B80AB8"/>
    <w:rsid w:val="00B80DBE"/>
    <w:rsid w:val="00B810D0"/>
    <w:rsid w:val="00B81FC8"/>
    <w:rsid w:val="00B82050"/>
    <w:rsid w:val="00B833E9"/>
    <w:rsid w:val="00B84A59"/>
    <w:rsid w:val="00B85160"/>
    <w:rsid w:val="00B8522F"/>
    <w:rsid w:val="00B8541A"/>
    <w:rsid w:val="00B86DB4"/>
    <w:rsid w:val="00B8721B"/>
    <w:rsid w:val="00B8787E"/>
    <w:rsid w:val="00B87986"/>
    <w:rsid w:val="00B9008A"/>
    <w:rsid w:val="00B90855"/>
    <w:rsid w:val="00B924F0"/>
    <w:rsid w:val="00B932EB"/>
    <w:rsid w:val="00B9330A"/>
    <w:rsid w:val="00B940A5"/>
    <w:rsid w:val="00B94D01"/>
    <w:rsid w:val="00B94F3F"/>
    <w:rsid w:val="00B96376"/>
    <w:rsid w:val="00B96948"/>
    <w:rsid w:val="00B97D8C"/>
    <w:rsid w:val="00BA0001"/>
    <w:rsid w:val="00BA0044"/>
    <w:rsid w:val="00BA02C3"/>
    <w:rsid w:val="00BA1BF6"/>
    <w:rsid w:val="00BA4FEA"/>
    <w:rsid w:val="00BA51EA"/>
    <w:rsid w:val="00BA5415"/>
    <w:rsid w:val="00BA5C75"/>
    <w:rsid w:val="00BA7699"/>
    <w:rsid w:val="00BA7A7B"/>
    <w:rsid w:val="00BA7B1A"/>
    <w:rsid w:val="00BB15A8"/>
    <w:rsid w:val="00BB200B"/>
    <w:rsid w:val="00BB284A"/>
    <w:rsid w:val="00BB296C"/>
    <w:rsid w:val="00BB3CFB"/>
    <w:rsid w:val="00BB6AE5"/>
    <w:rsid w:val="00BC1354"/>
    <w:rsid w:val="00BC5364"/>
    <w:rsid w:val="00BC558B"/>
    <w:rsid w:val="00BC59BF"/>
    <w:rsid w:val="00BC702C"/>
    <w:rsid w:val="00BC7088"/>
    <w:rsid w:val="00BC7523"/>
    <w:rsid w:val="00BC7B00"/>
    <w:rsid w:val="00BC7F79"/>
    <w:rsid w:val="00BD172E"/>
    <w:rsid w:val="00BD197E"/>
    <w:rsid w:val="00BD30E8"/>
    <w:rsid w:val="00BD3482"/>
    <w:rsid w:val="00BD36E3"/>
    <w:rsid w:val="00BD4A6A"/>
    <w:rsid w:val="00BD4D7B"/>
    <w:rsid w:val="00BD509C"/>
    <w:rsid w:val="00BD649B"/>
    <w:rsid w:val="00BD6E71"/>
    <w:rsid w:val="00BD72EF"/>
    <w:rsid w:val="00BD7C96"/>
    <w:rsid w:val="00BE04FE"/>
    <w:rsid w:val="00BE0D38"/>
    <w:rsid w:val="00BE1C21"/>
    <w:rsid w:val="00BE333F"/>
    <w:rsid w:val="00BE4A62"/>
    <w:rsid w:val="00BF060B"/>
    <w:rsid w:val="00BF06E1"/>
    <w:rsid w:val="00BF0C70"/>
    <w:rsid w:val="00BF0D0B"/>
    <w:rsid w:val="00BF2B0B"/>
    <w:rsid w:val="00BF4B0D"/>
    <w:rsid w:val="00BF556C"/>
    <w:rsid w:val="00BF575F"/>
    <w:rsid w:val="00BF5B43"/>
    <w:rsid w:val="00BF61BB"/>
    <w:rsid w:val="00BF677A"/>
    <w:rsid w:val="00BF7224"/>
    <w:rsid w:val="00C01949"/>
    <w:rsid w:val="00C04DFF"/>
    <w:rsid w:val="00C04E3E"/>
    <w:rsid w:val="00C05357"/>
    <w:rsid w:val="00C057C7"/>
    <w:rsid w:val="00C07496"/>
    <w:rsid w:val="00C074A4"/>
    <w:rsid w:val="00C07AB7"/>
    <w:rsid w:val="00C108C2"/>
    <w:rsid w:val="00C10F5D"/>
    <w:rsid w:val="00C11A83"/>
    <w:rsid w:val="00C12283"/>
    <w:rsid w:val="00C1274F"/>
    <w:rsid w:val="00C144B7"/>
    <w:rsid w:val="00C177D9"/>
    <w:rsid w:val="00C17C01"/>
    <w:rsid w:val="00C20145"/>
    <w:rsid w:val="00C2032A"/>
    <w:rsid w:val="00C209BA"/>
    <w:rsid w:val="00C2120A"/>
    <w:rsid w:val="00C23494"/>
    <w:rsid w:val="00C23B96"/>
    <w:rsid w:val="00C24BF4"/>
    <w:rsid w:val="00C30901"/>
    <w:rsid w:val="00C31527"/>
    <w:rsid w:val="00C31F40"/>
    <w:rsid w:val="00C32F58"/>
    <w:rsid w:val="00C35377"/>
    <w:rsid w:val="00C36878"/>
    <w:rsid w:val="00C36D5B"/>
    <w:rsid w:val="00C40BAA"/>
    <w:rsid w:val="00C41C1F"/>
    <w:rsid w:val="00C42DD5"/>
    <w:rsid w:val="00C43B94"/>
    <w:rsid w:val="00C46174"/>
    <w:rsid w:val="00C474DE"/>
    <w:rsid w:val="00C47723"/>
    <w:rsid w:val="00C50366"/>
    <w:rsid w:val="00C503B1"/>
    <w:rsid w:val="00C50D31"/>
    <w:rsid w:val="00C536A0"/>
    <w:rsid w:val="00C54DBA"/>
    <w:rsid w:val="00C55022"/>
    <w:rsid w:val="00C552AA"/>
    <w:rsid w:val="00C56A01"/>
    <w:rsid w:val="00C605D4"/>
    <w:rsid w:val="00C6081A"/>
    <w:rsid w:val="00C6195E"/>
    <w:rsid w:val="00C62DD7"/>
    <w:rsid w:val="00C6303E"/>
    <w:rsid w:val="00C63B48"/>
    <w:rsid w:val="00C64093"/>
    <w:rsid w:val="00C640E3"/>
    <w:rsid w:val="00C64203"/>
    <w:rsid w:val="00C643B5"/>
    <w:rsid w:val="00C652BD"/>
    <w:rsid w:val="00C65B05"/>
    <w:rsid w:val="00C675EA"/>
    <w:rsid w:val="00C7661E"/>
    <w:rsid w:val="00C80FAA"/>
    <w:rsid w:val="00C810B5"/>
    <w:rsid w:val="00C810C6"/>
    <w:rsid w:val="00C81115"/>
    <w:rsid w:val="00C8201B"/>
    <w:rsid w:val="00C82D73"/>
    <w:rsid w:val="00C86C47"/>
    <w:rsid w:val="00C87607"/>
    <w:rsid w:val="00C87A2C"/>
    <w:rsid w:val="00C9029A"/>
    <w:rsid w:val="00C90974"/>
    <w:rsid w:val="00C91BB5"/>
    <w:rsid w:val="00C92F26"/>
    <w:rsid w:val="00C94A78"/>
    <w:rsid w:val="00C9594D"/>
    <w:rsid w:val="00CA2074"/>
    <w:rsid w:val="00CA2B4A"/>
    <w:rsid w:val="00CA311D"/>
    <w:rsid w:val="00CA328D"/>
    <w:rsid w:val="00CA58C8"/>
    <w:rsid w:val="00CA5D34"/>
    <w:rsid w:val="00CA727F"/>
    <w:rsid w:val="00CA7BF7"/>
    <w:rsid w:val="00CB03E9"/>
    <w:rsid w:val="00CB2B26"/>
    <w:rsid w:val="00CB2C3E"/>
    <w:rsid w:val="00CB618F"/>
    <w:rsid w:val="00CC0D8A"/>
    <w:rsid w:val="00CC21BF"/>
    <w:rsid w:val="00CC3813"/>
    <w:rsid w:val="00CC3A2B"/>
    <w:rsid w:val="00CC423F"/>
    <w:rsid w:val="00CC4280"/>
    <w:rsid w:val="00CC4AEB"/>
    <w:rsid w:val="00CC7C62"/>
    <w:rsid w:val="00CD0FB6"/>
    <w:rsid w:val="00CD30B2"/>
    <w:rsid w:val="00CD5410"/>
    <w:rsid w:val="00CD5D56"/>
    <w:rsid w:val="00CD5E46"/>
    <w:rsid w:val="00CD78FC"/>
    <w:rsid w:val="00CD7A6C"/>
    <w:rsid w:val="00CD7F01"/>
    <w:rsid w:val="00CE26B4"/>
    <w:rsid w:val="00CE3A07"/>
    <w:rsid w:val="00CE401B"/>
    <w:rsid w:val="00CE46C8"/>
    <w:rsid w:val="00CE67C3"/>
    <w:rsid w:val="00CE67E2"/>
    <w:rsid w:val="00CE7AAE"/>
    <w:rsid w:val="00CF01C1"/>
    <w:rsid w:val="00CF06B3"/>
    <w:rsid w:val="00CF0880"/>
    <w:rsid w:val="00CF15D1"/>
    <w:rsid w:val="00CF2283"/>
    <w:rsid w:val="00CF2F5B"/>
    <w:rsid w:val="00CF33D8"/>
    <w:rsid w:val="00CF3FA3"/>
    <w:rsid w:val="00CF4C4E"/>
    <w:rsid w:val="00CF4E6B"/>
    <w:rsid w:val="00CF60D0"/>
    <w:rsid w:val="00CF630D"/>
    <w:rsid w:val="00CF7762"/>
    <w:rsid w:val="00CF7CF2"/>
    <w:rsid w:val="00D03983"/>
    <w:rsid w:val="00D04271"/>
    <w:rsid w:val="00D044E3"/>
    <w:rsid w:val="00D05D42"/>
    <w:rsid w:val="00D05F90"/>
    <w:rsid w:val="00D066B0"/>
    <w:rsid w:val="00D07BCB"/>
    <w:rsid w:val="00D116E1"/>
    <w:rsid w:val="00D137B4"/>
    <w:rsid w:val="00D13B77"/>
    <w:rsid w:val="00D155E7"/>
    <w:rsid w:val="00D17D01"/>
    <w:rsid w:val="00D20BF7"/>
    <w:rsid w:val="00D239ED"/>
    <w:rsid w:val="00D24132"/>
    <w:rsid w:val="00D30280"/>
    <w:rsid w:val="00D308D0"/>
    <w:rsid w:val="00D30CC1"/>
    <w:rsid w:val="00D31B40"/>
    <w:rsid w:val="00D32CB1"/>
    <w:rsid w:val="00D32EB0"/>
    <w:rsid w:val="00D33DF7"/>
    <w:rsid w:val="00D33F50"/>
    <w:rsid w:val="00D34DFA"/>
    <w:rsid w:val="00D3653B"/>
    <w:rsid w:val="00D4008B"/>
    <w:rsid w:val="00D401B8"/>
    <w:rsid w:val="00D425BC"/>
    <w:rsid w:val="00D44F76"/>
    <w:rsid w:val="00D45149"/>
    <w:rsid w:val="00D45652"/>
    <w:rsid w:val="00D47626"/>
    <w:rsid w:val="00D50B1E"/>
    <w:rsid w:val="00D519F1"/>
    <w:rsid w:val="00D51F01"/>
    <w:rsid w:val="00D53AC8"/>
    <w:rsid w:val="00D53EDA"/>
    <w:rsid w:val="00D548C4"/>
    <w:rsid w:val="00D560B3"/>
    <w:rsid w:val="00D56544"/>
    <w:rsid w:val="00D56EFA"/>
    <w:rsid w:val="00D57377"/>
    <w:rsid w:val="00D579A8"/>
    <w:rsid w:val="00D622EE"/>
    <w:rsid w:val="00D62C7C"/>
    <w:rsid w:val="00D63546"/>
    <w:rsid w:val="00D6373C"/>
    <w:rsid w:val="00D652B0"/>
    <w:rsid w:val="00D6596B"/>
    <w:rsid w:val="00D65CCF"/>
    <w:rsid w:val="00D7006D"/>
    <w:rsid w:val="00D7040B"/>
    <w:rsid w:val="00D70E6D"/>
    <w:rsid w:val="00D71A8D"/>
    <w:rsid w:val="00D723D5"/>
    <w:rsid w:val="00D72F23"/>
    <w:rsid w:val="00D73F99"/>
    <w:rsid w:val="00D741E3"/>
    <w:rsid w:val="00D74509"/>
    <w:rsid w:val="00D74F19"/>
    <w:rsid w:val="00D7535A"/>
    <w:rsid w:val="00D76A4F"/>
    <w:rsid w:val="00D77E3A"/>
    <w:rsid w:val="00D80CB3"/>
    <w:rsid w:val="00D81ABD"/>
    <w:rsid w:val="00D8493A"/>
    <w:rsid w:val="00D87B52"/>
    <w:rsid w:val="00D90F0B"/>
    <w:rsid w:val="00D9115E"/>
    <w:rsid w:val="00D9173A"/>
    <w:rsid w:val="00D91ADB"/>
    <w:rsid w:val="00D91E93"/>
    <w:rsid w:val="00D924B2"/>
    <w:rsid w:val="00D95BE0"/>
    <w:rsid w:val="00D95CFE"/>
    <w:rsid w:val="00D966F5"/>
    <w:rsid w:val="00D96F9E"/>
    <w:rsid w:val="00D97382"/>
    <w:rsid w:val="00D97769"/>
    <w:rsid w:val="00D9793F"/>
    <w:rsid w:val="00DA0AFF"/>
    <w:rsid w:val="00DA1AD5"/>
    <w:rsid w:val="00DA1ADA"/>
    <w:rsid w:val="00DA2056"/>
    <w:rsid w:val="00DA23EB"/>
    <w:rsid w:val="00DA297C"/>
    <w:rsid w:val="00DA2BF2"/>
    <w:rsid w:val="00DA335A"/>
    <w:rsid w:val="00DA4FC1"/>
    <w:rsid w:val="00DA50F1"/>
    <w:rsid w:val="00DA63EC"/>
    <w:rsid w:val="00DA69B8"/>
    <w:rsid w:val="00DA7AB1"/>
    <w:rsid w:val="00DB106D"/>
    <w:rsid w:val="00DB12DA"/>
    <w:rsid w:val="00DB36B6"/>
    <w:rsid w:val="00DB4CE9"/>
    <w:rsid w:val="00DB5480"/>
    <w:rsid w:val="00DB67EA"/>
    <w:rsid w:val="00DB76D6"/>
    <w:rsid w:val="00DB7CDC"/>
    <w:rsid w:val="00DC0C05"/>
    <w:rsid w:val="00DC0CA2"/>
    <w:rsid w:val="00DC0D20"/>
    <w:rsid w:val="00DC1507"/>
    <w:rsid w:val="00DC2533"/>
    <w:rsid w:val="00DC3F4F"/>
    <w:rsid w:val="00DC5974"/>
    <w:rsid w:val="00DC75B0"/>
    <w:rsid w:val="00DC7A64"/>
    <w:rsid w:val="00DD1E28"/>
    <w:rsid w:val="00DD22EF"/>
    <w:rsid w:val="00DD2BC5"/>
    <w:rsid w:val="00DD3582"/>
    <w:rsid w:val="00DD39F9"/>
    <w:rsid w:val="00DD3D3C"/>
    <w:rsid w:val="00DD3D4E"/>
    <w:rsid w:val="00DD435B"/>
    <w:rsid w:val="00DD50C5"/>
    <w:rsid w:val="00DD546A"/>
    <w:rsid w:val="00DD7B3D"/>
    <w:rsid w:val="00DE0B7E"/>
    <w:rsid w:val="00DE14DF"/>
    <w:rsid w:val="00DE3152"/>
    <w:rsid w:val="00DE5757"/>
    <w:rsid w:val="00DE675C"/>
    <w:rsid w:val="00DE6D01"/>
    <w:rsid w:val="00DE72B8"/>
    <w:rsid w:val="00DF005B"/>
    <w:rsid w:val="00DF07CF"/>
    <w:rsid w:val="00DF0AAA"/>
    <w:rsid w:val="00DF0F93"/>
    <w:rsid w:val="00DF39B2"/>
    <w:rsid w:val="00DF55DD"/>
    <w:rsid w:val="00DF6A5D"/>
    <w:rsid w:val="00DF6BCB"/>
    <w:rsid w:val="00E01695"/>
    <w:rsid w:val="00E029DF"/>
    <w:rsid w:val="00E03F6C"/>
    <w:rsid w:val="00E04311"/>
    <w:rsid w:val="00E064A8"/>
    <w:rsid w:val="00E06669"/>
    <w:rsid w:val="00E07323"/>
    <w:rsid w:val="00E079EF"/>
    <w:rsid w:val="00E10712"/>
    <w:rsid w:val="00E10720"/>
    <w:rsid w:val="00E10C87"/>
    <w:rsid w:val="00E125CC"/>
    <w:rsid w:val="00E12816"/>
    <w:rsid w:val="00E14065"/>
    <w:rsid w:val="00E15FE5"/>
    <w:rsid w:val="00E16975"/>
    <w:rsid w:val="00E21A4D"/>
    <w:rsid w:val="00E236A5"/>
    <w:rsid w:val="00E24429"/>
    <w:rsid w:val="00E25696"/>
    <w:rsid w:val="00E26883"/>
    <w:rsid w:val="00E26D1D"/>
    <w:rsid w:val="00E26DD7"/>
    <w:rsid w:val="00E27541"/>
    <w:rsid w:val="00E27B64"/>
    <w:rsid w:val="00E32369"/>
    <w:rsid w:val="00E40006"/>
    <w:rsid w:val="00E4100A"/>
    <w:rsid w:val="00E42A71"/>
    <w:rsid w:val="00E465CF"/>
    <w:rsid w:val="00E46F5C"/>
    <w:rsid w:val="00E51E43"/>
    <w:rsid w:val="00E51F44"/>
    <w:rsid w:val="00E529BD"/>
    <w:rsid w:val="00E559F7"/>
    <w:rsid w:val="00E56965"/>
    <w:rsid w:val="00E56A49"/>
    <w:rsid w:val="00E56B60"/>
    <w:rsid w:val="00E5700C"/>
    <w:rsid w:val="00E57448"/>
    <w:rsid w:val="00E57D7B"/>
    <w:rsid w:val="00E6031B"/>
    <w:rsid w:val="00E6279B"/>
    <w:rsid w:val="00E62B87"/>
    <w:rsid w:val="00E62F4E"/>
    <w:rsid w:val="00E64CBC"/>
    <w:rsid w:val="00E65B2B"/>
    <w:rsid w:val="00E66201"/>
    <w:rsid w:val="00E66DE1"/>
    <w:rsid w:val="00E70862"/>
    <w:rsid w:val="00E73AFD"/>
    <w:rsid w:val="00E7713C"/>
    <w:rsid w:val="00E77271"/>
    <w:rsid w:val="00E77BEA"/>
    <w:rsid w:val="00E824C5"/>
    <w:rsid w:val="00E8292D"/>
    <w:rsid w:val="00E83D74"/>
    <w:rsid w:val="00E84B27"/>
    <w:rsid w:val="00E85D85"/>
    <w:rsid w:val="00E87C04"/>
    <w:rsid w:val="00E87E85"/>
    <w:rsid w:val="00E87FBD"/>
    <w:rsid w:val="00E90EB0"/>
    <w:rsid w:val="00E91CAF"/>
    <w:rsid w:val="00E922B5"/>
    <w:rsid w:val="00E9319E"/>
    <w:rsid w:val="00E93AD2"/>
    <w:rsid w:val="00E95D5F"/>
    <w:rsid w:val="00E97F03"/>
    <w:rsid w:val="00E97F6C"/>
    <w:rsid w:val="00EA043E"/>
    <w:rsid w:val="00EA0627"/>
    <w:rsid w:val="00EA23CB"/>
    <w:rsid w:val="00EA247B"/>
    <w:rsid w:val="00EA2B66"/>
    <w:rsid w:val="00EA31DD"/>
    <w:rsid w:val="00EA4B10"/>
    <w:rsid w:val="00EA79BC"/>
    <w:rsid w:val="00EB0065"/>
    <w:rsid w:val="00EB332D"/>
    <w:rsid w:val="00EB442B"/>
    <w:rsid w:val="00EB5193"/>
    <w:rsid w:val="00EB5C88"/>
    <w:rsid w:val="00EB66B1"/>
    <w:rsid w:val="00EB6833"/>
    <w:rsid w:val="00EB6C5A"/>
    <w:rsid w:val="00EB7621"/>
    <w:rsid w:val="00EC00EE"/>
    <w:rsid w:val="00EC0A46"/>
    <w:rsid w:val="00EC0D1D"/>
    <w:rsid w:val="00EC128A"/>
    <w:rsid w:val="00EC2E31"/>
    <w:rsid w:val="00EC4273"/>
    <w:rsid w:val="00EC4432"/>
    <w:rsid w:val="00EC4D46"/>
    <w:rsid w:val="00EC5150"/>
    <w:rsid w:val="00EC5B78"/>
    <w:rsid w:val="00ED1E44"/>
    <w:rsid w:val="00ED2106"/>
    <w:rsid w:val="00ED27EB"/>
    <w:rsid w:val="00ED2816"/>
    <w:rsid w:val="00ED55C4"/>
    <w:rsid w:val="00ED66E1"/>
    <w:rsid w:val="00EE056A"/>
    <w:rsid w:val="00EE2A0A"/>
    <w:rsid w:val="00EE3D99"/>
    <w:rsid w:val="00EE4919"/>
    <w:rsid w:val="00EE5092"/>
    <w:rsid w:val="00EE5919"/>
    <w:rsid w:val="00EE5C1B"/>
    <w:rsid w:val="00EE6122"/>
    <w:rsid w:val="00EE79C4"/>
    <w:rsid w:val="00EF1B36"/>
    <w:rsid w:val="00EF1FE4"/>
    <w:rsid w:val="00EF2208"/>
    <w:rsid w:val="00EF52D5"/>
    <w:rsid w:val="00EF583E"/>
    <w:rsid w:val="00EF5859"/>
    <w:rsid w:val="00EF59CF"/>
    <w:rsid w:val="00EF5FED"/>
    <w:rsid w:val="00EF61B8"/>
    <w:rsid w:val="00EF6DB7"/>
    <w:rsid w:val="00EF7BDD"/>
    <w:rsid w:val="00F01370"/>
    <w:rsid w:val="00F01465"/>
    <w:rsid w:val="00F016CD"/>
    <w:rsid w:val="00F02C19"/>
    <w:rsid w:val="00F02C29"/>
    <w:rsid w:val="00F032BB"/>
    <w:rsid w:val="00F05087"/>
    <w:rsid w:val="00F057B5"/>
    <w:rsid w:val="00F058BC"/>
    <w:rsid w:val="00F07449"/>
    <w:rsid w:val="00F07E71"/>
    <w:rsid w:val="00F10E40"/>
    <w:rsid w:val="00F1185F"/>
    <w:rsid w:val="00F11EEC"/>
    <w:rsid w:val="00F12F49"/>
    <w:rsid w:val="00F133BD"/>
    <w:rsid w:val="00F13847"/>
    <w:rsid w:val="00F15971"/>
    <w:rsid w:val="00F1598A"/>
    <w:rsid w:val="00F17BAB"/>
    <w:rsid w:val="00F20658"/>
    <w:rsid w:val="00F21733"/>
    <w:rsid w:val="00F22CB8"/>
    <w:rsid w:val="00F232B9"/>
    <w:rsid w:val="00F24A8B"/>
    <w:rsid w:val="00F2537B"/>
    <w:rsid w:val="00F268EE"/>
    <w:rsid w:val="00F2693B"/>
    <w:rsid w:val="00F30E62"/>
    <w:rsid w:val="00F311D1"/>
    <w:rsid w:val="00F314F1"/>
    <w:rsid w:val="00F32782"/>
    <w:rsid w:val="00F338B2"/>
    <w:rsid w:val="00F33945"/>
    <w:rsid w:val="00F33CC2"/>
    <w:rsid w:val="00F37F1D"/>
    <w:rsid w:val="00F409EC"/>
    <w:rsid w:val="00F41419"/>
    <w:rsid w:val="00F42C7C"/>
    <w:rsid w:val="00F435E4"/>
    <w:rsid w:val="00F43729"/>
    <w:rsid w:val="00F4544C"/>
    <w:rsid w:val="00F4652B"/>
    <w:rsid w:val="00F4655E"/>
    <w:rsid w:val="00F46F97"/>
    <w:rsid w:val="00F50658"/>
    <w:rsid w:val="00F50810"/>
    <w:rsid w:val="00F508A5"/>
    <w:rsid w:val="00F5141D"/>
    <w:rsid w:val="00F529C8"/>
    <w:rsid w:val="00F53644"/>
    <w:rsid w:val="00F53797"/>
    <w:rsid w:val="00F554C0"/>
    <w:rsid w:val="00F55741"/>
    <w:rsid w:val="00F55CDF"/>
    <w:rsid w:val="00F5663F"/>
    <w:rsid w:val="00F56A44"/>
    <w:rsid w:val="00F56CCE"/>
    <w:rsid w:val="00F574D5"/>
    <w:rsid w:val="00F60D48"/>
    <w:rsid w:val="00F610D8"/>
    <w:rsid w:val="00F62010"/>
    <w:rsid w:val="00F64824"/>
    <w:rsid w:val="00F650D8"/>
    <w:rsid w:val="00F65B84"/>
    <w:rsid w:val="00F664F6"/>
    <w:rsid w:val="00F6757F"/>
    <w:rsid w:val="00F72B18"/>
    <w:rsid w:val="00F72BEA"/>
    <w:rsid w:val="00F730D9"/>
    <w:rsid w:val="00F731D1"/>
    <w:rsid w:val="00F76F33"/>
    <w:rsid w:val="00F7774D"/>
    <w:rsid w:val="00F7774F"/>
    <w:rsid w:val="00F77804"/>
    <w:rsid w:val="00F80DAC"/>
    <w:rsid w:val="00F81A4F"/>
    <w:rsid w:val="00F82567"/>
    <w:rsid w:val="00F8287E"/>
    <w:rsid w:val="00F834CC"/>
    <w:rsid w:val="00F85A26"/>
    <w:rsid w:val="00F86C76"/>
    <w:rsid w:val="00F90750"/>
    <w:rsid w:val="00F909E7"/>
    <w:rsid w:val="00F90C45"/>
    <w:rsid w:val="00F9182A"/>
    <w:rsid w:val="00F9315D"/>
    <w:rsid w:val="00F95C61"/>
    <w:rsid w:val="00F960BE"/>
    <w:rsid w:val="00F96BA8"/>
    <w:rsid w:val="00F97300"/>
    <w:rsid w:val="00F97C8B"/>
    <w:rsid w:val="00F97D8F"/>
    <w:rsid w:val="00FA25E0"/>
    <w:rsid w:val="00FA2B20"/>
    <w:rsid w:val="00FA35D7"/>
    <w:rsid w:val="00FA5320"/>
    <w:rsid w:val="00FA54F6"/>
    <w:rsid w:val="00FA579C"/>
    <w:rsid w:val="00FA593A"/>
    <w:rsid w:val="00FA5CA3"/>
    <w:rsid w:val="00FA6FD3"/>
    <w:rsid w:val="00FA75F0"/>
    <w:rsid w:val="00FB1BFA"/>
    <w:rsid w:val="00FB1DE8"/>
    <w:rsid w:val="00FB26B0"/>
    <w:rsid w:val="00FB2978"/>
    <w:rsid w:val="00FB2C7C"/>
    <w:rsid w:val="00FB43A1"/>
    <w:rsid w:val="00FB4755"/>
    <w:rsid w:val="00FB51DB"/>
    <w:rsid w:val="00FB547E"/>
    <w:rsid w:val="00FB6534"/>
    <w:rsid w:val="00FB696D"/>
    <w:rsid w:val="00FC02E5"/>
    <w:rsid w:val="00FC5204"/>
    <w:rsid w:val="00FC5BD6"/>
    <w:rsid w:val="00FC5D83"/>
    <w:rsid w:val="00FC661E"/>
    <w:rsid w:val="00FC6790"/>
    <w:rsid w:val="00FC6C0F"/>
    <w:rsid w:val="00FD2EA5"/>
    <w:rsid w:val="00FD34F6"/>
    <w:rsid w:val="00FD4349"/>
    <w:rsid w:val="00FD4692"/>
    <w:rsid w:val="00FD6D6F"/>
    <w:rsid w:val="00FD72DC"/>
    <w:rsid w:val="00FD7603"/>
    <w:rsid w:val="00FE0E41"/>
    <w:rsid w:val="00FE1D54"/>
    <w:rsid w:val="00FE2799"/>
    <w:rsid w:val="00FE2D0C"/>
    <w:rsid w:val="00FE2DD2"/>
    <w:rsid w:val="00FE31CC"/>
    <w:rsid w:val="00FE4DC9"/>
    <w:rsid w:val="00FE6C05"/>
    <w:rsid w:val="00FE715D"/>
    <w:rsid w:val="00FF19A6"/>
    <w:rsid w:val="00FF224A"/>
    <w:rsid w:val="00FF27A8"/>
    <w:rsid w:val="00FF2BC8"/>
    <w:rsid w:val="00FF308F"/>
    <w:rsid w:val="00FF3F8A"/>
    <w:rsid w:val="00FF4808"/>
    <w:rsid w:val="00FF4AE9"/>
    <w:rsid w:val="00FF4E7B"/>
    <w:rsid w:val="00FF6BD3"/>
    <w:rsid w:val="00FF6F0A"/>
    <w:rsid w:val="00FF71D9"/>
    <w:rsid w:val="044C3B85"/>
    <w:rsid w:val="113F1D72"/>
    <w:rsid w:val="13604E22"/>
    <w:rsid w:val="14331E29"/>
    <w:rsid w:val="16F3AEB1"/>
    <w:rsid w:val="17408994"/>
    <w:rsid w:val="21DF9AF6"/>
    <w:rsid w:val="26E99642"/>
    <w:rsid w:val="2BEC6D20"/>
    <w:rsid w:val="2C5EE75C"/>
    <w:rsid w:val="30753839"/>
    <w:rsid w:val="31043821"/>
    <w:rsid w:val="33128CD1"/>
    <w:rsid w:val="35B1F401"/>
    <w:rsid w:val="3D119EB6"/>
    <w:rsid w:val="404F97F0"/>
    <w:rsid w:val="43C73CE8"/>
    <w:rsid w:val="4815ABE6"/>
    <w:rsid w:val="50BD4DB5"/>
    <w:rsid w:val="513F36F3"/>
    <w:rsid w:val="56BAB8D7"/>
    <w:rsid w:val="56BE9F3D"/>
    <w:rsid w:val="57BCBC35"/>
    <w:rsid w:val="5994943D"/>
    <w:rsid w:val="5DC52FCC"/>
    <w:rsid w:val="60890726"/>
    <w:rsid w:val="60EC6B75"/>
    <w:rsid w:val="62800900"/>
    <w:rsid w:val="6B4D6E1B"/>
    <w:rsid w:val="72772EC3"/>
    <w:rsid w:val="75EFB24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110B0560"/>
  <w15:chartTrackingRefBased/>
  <w15:docId w15:val="{C5014664-E74B-452C-B4A3-3D232C9E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58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082B97"/>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aliases w:val="Raport roczny Char,Przypisy Char"/>
    <w:link w:val="NoSpacing"/>
    <w:locked/>
    <w:rsid w:val="001A7362"/>
    <w:rPr>
      <w:rFonts w:ascii="Verdana" w:hAnsi="Verdana" w:cs="Times New Roman"/>
      <w:color w:val="404044"/>
      <w:sz w:val="16"/>
      <w:szCs w:val="20"/>
    </w:rPr>
  </w:style>
  <w:style w:type="paragraph" w:styleId="NoSpacing">
    <w:name w:val="No Spacing"/>
    <w:aliases w:val="Raport roczny,Przypisy"/>
    <w:basedOn w:val="Normal"/>
    <w:link w:val="NoSpacingChar"/>
    <w:qFormat/>
    <w:rsid w:val="001A7362"/>
    <w:pPr>
      <w:spacing w:line="288" w:lineRule="auto"/>
      <w:jc w:val="both"/>
    </w:pPr>
    <w:rPr>
      <w:rFonts w:ascii="Verdana" w:hAnsi="Verdana" w:cs="Times New Roman"/>
      <w:color w:val="404044"/>
      <w:sz w:val="16"/>
      <w:szCs w:val="20"/>
    </w:rPr>
  </w:style>
  <w:style w:type="paragraph" w:customStyle="1" w:styleId="Default">
    <w:name w:val="Default"/>
    <w:rsid w:val="00EE4919"/>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0544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445B"/>
    <w:rPr>
      <w:rFonts w:ascii="Segoe UI" w:hAnsi="Segoe UI" w:cs="Segoe UI"/>
      <w:sz w:val="18"/>
      <w:szCs w:val="18"/>
    </w:rPr>
  </w:style>
  <w:style w:type="character" w:styleId="CommentReference">
    <w:name w:val="annotation reference"/>
    <w:basedOn w:val="DefaultParagraphFont"/>
    <w:uiPriority w:val="99"/>
    <w:semiHidden/>
    <w:unhideWhenUsed/>
    <w:rsid w:val="00F268EE"/>
    <w:rPr>
      <w:sz w:val="16"/>
      <w:szCs w:val="16"/>
    </w:rPr>
  </w:style>
  <w:style w:type="paragraph" w:styleId="CommentText">
    <w:name w:val="annotation text"/>
    <w:basedOn w:val="Normal"/>
    <w:link w:val="CommentTextChar"/>
    <w:uiPriority w:val="99"/>
    <w:unhideWhenUsed/>
    <w:rsid w:val="00F268EE"/>
    <w:pPr>
      <w:spacing w:line="240" w:lineRule="auto"/>
    </w:pPr>
    <w:rPr>
      <w:sz w:val="20"/>
      <w:szCs w:val="20"/>
    </w:rPr>
  </w:style>
  <w:style w:type="character" w:customStyle="1" w:styleId="CommentTextChar">
    <w:name w:val="Comment Text Char"/>
    <w:basedOn w:val="DefaultParagraphFont"/>
    <w:link w:val="CommentText"/>
    <w:uiPriority w:val="99"/>
    <w:rsid w:val="00F268EE"/>
    <w:rPr>
      <w:sz w:val="20"/>
      <w:szCs w:val="20"/>
    </w:rPr>
  </w:style>
  <w:style w:type="paragraph" w:styleId="CommentSubject">
    <w:name w:val="annotation subject"/>
    <w:basedOn w:val="CommentText"/>
    <w:next w:val="CommentText"/>
    <w:link w:val="CommentSubjectChar"/>
    <w:uiPriority w:val="99"/>
    <w:semiHidden/>
    <w:unhideWhenUsed/>
    <w:rsid w:val="00F268EE"/>
    <w:rPr>
      <w:b/>
      <w:bCs/>
    </w:rPr>
  </w:style>
  <w:style w:type="character" w:customStyle="1" w:styleId="CommentSubjectChar">
    <w:name w:val="Comment Subject Char"/>
    <w:basedOn w:val="CommentTextChar"/>
    <w:link w:val="CommentSubject"/>
    <w:uiPriority w:val="99"/>
    <w:semiHidden/>
    <w:rsid w:val="00F268EE"/>
    <w:rPr>
      <w:b/>
      <w:bCs/>
      <w:sz w:val="20"/>
      <w:szCs w:val="20"/>
    </w:rPr>
  </w:style>
  <w:style w:type="paragraph" w:styleId="NormalWeb">
    <w:name w:val="Normal (Web)"/>
    <w:basedOn w:val="Normal"/>
    <w:uiPriority w:val="99"/>
    <w:unhideWhenUsed/>
    <w:rsid w:val="001C417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Emphasis">
    <w:name w:val="Emphasis"/>
    <w:basedOn w:val="DefaultParagraphFont"/>
    <w:uiPriority w:val="20"/>
    <w:qFormat/>
    <w:rsid w:val="00082B97"/>
    <w:rPr>
      <w:i/>
      <w:iCs/>
    </w:rPr>
  </w:style>
  <w:style w:type="character" w:customStyle="1" w:styleId="Heading2Char">
    <w:name w:val="Heading 2 Char"/>
    <w:basedOn w:val="DefaultParagraphFont"/>
    <w:link w:val="Heading2"/>
    <w:uiPriority w:val="9"/>
    <w:rsid w:val="00082B97"/>
    <w:rPr>
      <w:rFonts w:ascii="Times New Roman" w:eastAsia="Times New Roman" w:hAnsi="Times New Roman" w:cs="Times New Roman"/>
      <w:b/>
      <w:bCs/>
      <w:sz w:val="36"/>
      <w:szCs w:val="36"/>
      <w:lang w:eastAsia="pl-PL"/>
    </w:rPr>
  </w:style>
  <w:style w:type="character" w:styleId="Strong">
    <w:name w:val="Strong"/>
    <w:basedOn w:val="DefaultParagraphFont"/>
    <w:uiPriority w:val="22"/>
    <w:qFormat/>
    <w:rsid w:val="00884597"/>
    <w:rPr>
      <w:b/>
      <w:bCs/>
    </w:rPr>
  </w:style>
  <w:style w:type="paragraph" w:styleId="EndnoteText">
    <w:name w:val="endnote text"/>
    <w:basedOn w:val="Normal"/>
    <w:link w:val="EndnoteTextChar"/>
    <w:uiPriority w:val="99"/>
    <w:semiHidden/>
    <w:unhideWhenUsed/>
    <w:rsid w:val="00B84A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4A59"/>
    <w:rPr>
      <w:sz w:val="20"/>
      <w:szCs w:val="20"/>
    </w:rPr>
  </w:style>
  <w:style w:type="character" w:styleId="EndnoteReference">
    <w:name w:val="endnote reference"/>
    <w:basedOn w:val="DefaultParagraphFont"/>
    <w:uiPriority w:val="99"/>
    <w:semiHidden/>
    <w:unhideWhenUsed/>
    <w:rsid w:val="00B84A59"/>
    <w:rPr>
      <w:vertAlign w:val="superscript"/>
    </w:rPr>
  </w:style>
  <w:style w:type="paragraph" w:styleId="Revision">
    <w:name w:val="Revision"/>
    <w:hidden/>
    <w:uiPriority w:val="99"/>
    <w:semiHidden/>
    <w:rsid w:val="00EF583E"/>
    <w:pPr>
      <w:spacing w:after="0" w:line="240" w:lineRule="auto"/>
    </w:pPr>
  </w:style>
  <w:style w:type="paragraph" w:styleId="Header">
    <w:name w:val="header"/>
    <w:basedOn w:val="Normal"/>
    <w:link w:val="HeaderChar"/>
    <w:uiPriority w:val="99"/>
    <w:unhideWhenUsed/>
    <w:rsid w:val="004A21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A21D6"/>
  </w:style>
  <w:style w:type="paragraph" w:styleId="Footer">
    <w:name w:val="footer"/>
    <w:basedOn w:val="Normal"/>
    <w:link w:val="FooterChar"/>
    <w:unhideWhenUsed/>
    <w:rsid w:val="004A21D6"/>
    <w:pPr>
      <w:tabs>
        <w:tab w:val="center" w:pos="4536"/>
        <w:tab w:val="right" w:pos="9072"/>
      </w:tabs>
      <w:spacing w:after="0" w:line="240" w:lineRule="auto"/>
    </w:pPr>
  </w:style>
  <w:style w:type="character" w:customStyle="1" w:styleId="FooterChar">
    <w:name w:val="Footer Char"/>
    <w:basedOn w:val="DefaultParagraphFont"/>
    <w:link w:val="Footer"/>
    <w:rsid w:val="004A21D6"/>
  </w:style>
  <w:style w:type="character" w:styleId="Hyperlink">
    <w:name w:val="Hyperlink"/>
    <w:basedOn w:val="DefaultParagraphFont"/>
    <w:uiPriority w:val="99"/>
    <w:rsid w:val="004A21D6"/>
    <w:rPr>
      <w:color w:val="0000FF"/>
      <w:u w:val="single"/>
    </w:rPr>
  </w:style>
  <w:style w:type="paragraph" w:styleId="ListParagraph">
    <w:name w:val="List Paragraph"/>
    <w:aliases w:val="L1,Numerowanie,Akapit z listą5,T_SZ_List Paragraph,normalny tekst,Kolorowa lista — akcent 11,Akapit z listą BS,Kolorowa lista — akcent 12,lp1,List Paragraph2,EPL lista punktowana z wyrózneniem,A_wyliczenie,K-P_odwolanie"/>
    <w:basedOn w:val="Normal"/>
    <w:link w:val="ListParagraphChar"/>
    <w:uiPriority w:val="34"/>
    <w:qFormat/>
    <w:rsid w:val="004A21D6"/>
    <w:pPr>
      <w:spacing w:after="0" w:line="240" w:lineRule="auto"/>
      <w:ind w:left="720"/>
      <w:contextualSpacing/>
    </w:pPr>
    <w:rPr>
      <w:rFonts w:ascii="Arial" w:eastAsia="Times New Roman" w:hAnsi="Arial" w:cs="Times New Roman"/>
      <w:sz w:val="24"/>
      <w:szCs w:val="24"/>
      <w:lang w:eastAsia="pl-PL"/>
    </w:rPr>
  </w:style>
  <w:style w:type="character" w:customStyle="1" w:styleId="ListParagraphChar">
    <w:name w:val="List Paragraph Char"/>
    <w:aliases w:val="L1 Char,Numerowanie Char,Akapit z listą5 Char,T_SZ_List Paragraph Char,normalny tekst Char,Kolorowa lista — akcent 11 Char,Akapit z listą BS Char,Kolorowa lista — akcent 12 Char,lp1 Char,List Paragraph2 Char,A_wyliczenie Char"/>
    <w:basedOn w:val="DefaultParagraphFont"/>
    <w:link w:val="ListParagraph"/>
    <w:uiPriority w:val="34"/>
    <w:qFormat/>
    <w:rsid w:val="00495849"/>
    <w:rPr>
      <w:rFonts w:ascii="Arial" w:eastAsia="Times New Roman" w:hAnsi="Arial" w:cs="Times New Roman"/>
      <w:sz w:val="24"/>
      <w:szCs w:val="24"/>
      <w:lang w:eastAsia="pl-PL"/>
    </w:rPr>
  </w:style>
  <w:style w:type="character" w:customStyle="1" w:styleId="Heading1Char">
    <w:name w:val="Heading 1 Char"/>
    <w:basedOn w:val="DefaultParagraphFont"/>
    <w:link w:val="Heading1"/>
    <w:uiPriority w:val="9"/>
    <w:rsid w:val="0049584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95849"/>
    <w:pPr>
      <w:outlineLvl w:val="9"/>
    </w:pPr>
    <w:rPr>
      <w:lang w:eastAsia="pl-PL"/>
    </w:rPr>
  </w:style>
  <w:style w:type="character" w:styleId="UnresolvedMention">
    <w:name w:val="Unresolved Mention"/>
    <w:basedOn w:val="DefaultParagraphFont"/>
    <w:uiPriority w:val="99"/>
    <w:semiHidden/>
    <w:unhideWhenUsed/>
    <w:rsid w:val="00AA0B89"/>
    <w:rPr>
      <w:color w:val="605E5C"/>
      <w:shd w:val="clear" w:color="auto" w:fill="E1DFDD"/>
    </w:rPr>
  </w:style>
  <w:style w:type="paragraph" w:styleId="FootnoteText">
    <w:name w:val="footnote text"/>
    <w:basedOn w:val="Normal"/>
    <w:link w:val="FootnoteTextChar"/>
    <w:uiPriority w:val="99"/>
    <w:semiHidden/>
    <w:unhideWhenUsed/>
    <w:rsid w:val="00D76A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6A4F"/>
    <w:rPr>
      <w:sz w:val="20"/>
      <w:szCs w:val="20"/>
    </w:rPr>
  </w:style>
  <w:style w:type="character" w:styleId="FootnoteReference">
    <w:name w:val="footnote reference"/>
    <w:basedOn w:val="DefaultParagraphFont"/>
    <w:uiPriority w:val="99"/>
    <w:semiHidden/>
    <w:unhideWhenUsed/>
    <w:rsid w:val="00D76A4F"/>
    <w:rPr>
      <w:vertAlign w:val="superscript"/>
    </w:rPr>
  </w:style>
  <w:style w:type="table" w:styleId="TableGrid">
    <w:name w:val="Table Grid"/>
    <w:basedOn w:val="TableNormal"/>
    <w:uiPriority w:val="39"/>
    <w:rsid w:val="00AF7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lative">
    <w:name w:val="relative"/>
    <w:basedOn w:val="DefaultParagraphFont"/>
    <w:rsid w:val="00C07496"/>
  </w:style>
  <w:style w:type="character" w:styleId="FollowedHyperlink">
    <w:name w:val="FollowedHyperlink"/>
    <w:basedOn w:val="DefaultParagraphFont"/>
    <w:uiPriority w:val="99"/>
    <w:semiHidden/>
    <w:unhideWhenUsed/>
    <w:rsid w:val="00BA0044"/>
    <w:rPr>
      <w:color w:val="954F72" w:themeColor="followedHyperlink"/>
      <w:u w:val="single"/>
    </w:rPr>
  </w:style>
  <w:style w:type="character" w:customStyle="1" w:styleId="highlight">
    <w:name w:val="highlight"/>
    <w:basedOn w:val="DefaultParagraphFont"/>
    <w:rsid w:val="00081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30750">
      <w:bodyDiv w:val="1"/>
      <w:marLeft w:val="0"/>
      <w:marRight w:val="0"/>
      <w:marTop w:val="0"/>
      <w:marBottom w:val="0"/>
      <w:divBdr>
        <w:top w:val="none" w:sz="0" w:space="0" w:color="auto"/>
        <w:left w:val="none" w:sz="0" w:space="0" w:color="auto"/>
        <w:bottom w:val="none" w:sz="0" w:space="0" w:color="auto"/>
        <w:right w:val="none" w:sz="0" w:space="0" w:color="auto"/>
      </w:divBdr>
    </w:div>
    <w:div w:id="75130827">
      <w:bodyDiv w:val="1"/>
      <w:marLeft w:val="0"/>
      <w:marRight w:val="0"/>
      <w:marTop w:val="0"/>
      <w:marBottom w:val="0"/>
      <w:divBdr>
        <w:top w:val="none" w:sz="0" w:space="0" w:color="auto"/>
        <w:left w:val="none" w:sz="0" w:space="0" w:color="auto"/>
        <w:bottom w:val="none" w:sz="0" w:space="0" w:color="auto"/>
        <w:right w:val="none" w:sz="0" w:space="0" w:color="auto"/>
      </w:divBdr>
    </w:div>
    <w:div w:id="80879339">
      <w:bodyDiv w:val="1"/>
      <w:marLeft w:val="0"/>
      <w:marRight w:val="0"/>
      <w:marTop w:val="0"/>
      <w:marBottom w:val="0"/>
      <w:divBdr>
        <w:top w:val="none" w:sz="0" w:space="0" w:color="auto"/>
        <w:left w:val="none" w:sz="0" w:space="0" w:color="auto"/>
        <w:bottom w:val="none" w:sz="0" w:space="0" w:color="auto"/>
        <w:right w:val="none" w:sz="0" w:space="0" w:color="auto"/>
      </w:divBdr>
    </w:div>
    <w:div w:id="130365454">
      <w:bodyDiv w:val="1"/>
      <w:marLeft w:val="0"/>
      <w:marRight w:val="0"/>
      <w:marTop w:val="0"/>
      <w:marBottom w:val="0"/>
      <w:divBdr>
        <w:top w:val="none" w:sz="0" w:space="0" w:color="auto"/>
        <w:left w:val="none" w:sz="0" w:space="0" w:color="auto"/>
        <w:bottom w:val="none" w:sz="0" w:space="0" w:color="auto"/>
        <w:right w:val="none" w:sz="0" w:space="0" w:color="auto"/>
      </w:divBdr>
    </w:div>
    <w:div w:id="153107346">
      <w:bodyDiv w:val="1"/>
      <w:marLeft w:val="0"/>
      <w:marRight w:val="0"/>
      <w:marTop w:val="0"/>
      <w:marBottom w:val="0"/>
      <w:divBdr>
        <w:top w:val="none" w:sz="0" w:space="0" w:color="auto"/>
        <w:left w:val="none" w:sz="0" w:space="0" w:color="auto"/>
        <w:bottom w:val="none" w:sz="0" w:space="0" w:color="auto"/>
        <w:right w:val="none" w:sz="0" w:space="0" w:color="auto"/>
      </w:divBdr>
    </w:div>
    <w:div w:id="175460067">
      <w:bodyDiv w:val="1"/>
      <w:marLeft w:val="0"/>
      <w:marRight w:val="0"/>
      <w:marTop w:val="0"/>
      <w:marBottom w:val="0"/>
      <w:divBdr>
        <w:top w:val="none" w:sz="0" w:space="0" w:color="auto"/>
        <w:left w:val="none" w:sz="0" w:space="0" w:color="auto"/>
        <w:bottom w:val="none" w:sz="0" w:space="0" w:color="auto"/>
        <w:right w:val="none" w:sz="0" w:space="0" w:color="auto"/>
      </w:divBdr>
    </w:div>
    <w:div w:id="176502022">
      <w:bodyDiv w:val="1"/>
      <w:marLeft w:val="0"/>
      <w:marRight w:val="0"/>
      <w:marTop w:val="0"/>
      <w:marBottom w:val="0"/>
      <w:divBdr>
        <w:top w:val="none" w:sz="0" w:space="0" w:color="auto"/>
        <w:left w:val="none" w:sz="0" w:space="0" w:color="auto"/>
        <w:bottom w:val="none" w:sz="0" w:space="0" w:color="auto"/>
        <w:right w:val="none" w:sz="0" w:space="0" w:color="auto"/>
      </w:divBdr>
      <w:divsChild>
        <w:div w:id="1065109219">
          <w:marLeft w:val="0"/>
          <w:marRight w:val="0"/>
          <w:marTop w:val="0"/>
          <w:marBottom w:val="0"/>
          <w:divBdr>
            <w:top w:val="single" w:sz="2" w:space="0" w:color="E3E3E3"/>
            <w:left w:val="single" w:sz="2" w:space="0" w:color="E3E3E3"/>
            <w:bottom w:val="single" w:sz="2" w:space="0" w:color="E3E3E3"/>
            <w:right w:val="single" w:sz="2" w:space="0" w:color="E3E3E3"/>
          </w:divBdr>
          <w:divsChild>
            <w:div w:id="1616669308">
              <w:marLeft w:val="0"/>
              <w:marRight w:val="0"/>
              <w:marTop w:val="0"/>
              <w:marBottom w:val="0"/>
              <w:divBdr>
                <w:top w:val="single" w:sz="2" w:space="0" w:color="E3E3E3"/>
                <w:left w:val="single" w:sz="2" w:space="0" w:color="E3E3E3"/>
                <w:bottom w:val="single" w:sz="2" w:space="0" w:color="E3E3E3"/>
                <w:right w:val="single" w:sz="2" w:space="0" w:color="E3E3E3"/>
              </w:divBdr>
              <w:divsChild>
                <w:div w:id="378937816">
                  <w:marLeft w:val="0"/>
                  <w:marRight w:val="0"/>
                  <w:marTop w:val="0"/>
                  <w:marBottom w:val="0"/>
                  <w:divBdr>
                    <w:top w:val="single" w:sz="2" w:space="2" w:color="E3E3E3"/>
                    <w:left w:val="single" w:sz="2" w:space="0" w:color="E3E3E3"/>
                    <w:bottom w:val="single" w:sz="2" w:space="0" w:color="E3E3E3"/>
                    <w:right w:val="single" w:sz="2" w:space="0" w:color="E3E3E3"/>
                  </w:divBdr>
                  <w:divsChild>
                    <w:div w:id="7808038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542749">
      <w:bodyDiv w:val="1"/>
      <w:marLeft w:val="0"/>
      <w:marRight w:val="0"/>
      <w:marTop w:val="0"/>
      <w:marBottom w:val="0"/>
      <w:divBdr>
        <w:top w:val="none" w:sz="0" w:space="0" w:color="auto"/>
        <w:left w:val="none" w:sz="0" w:space="0" w:color="auto"/>
        <w:bottom w:val="none" w:sz="0" w:space="0" w:color="auto"/>
        <w:right w:val="none" w:sz="0" w:space="0" w:color="auto"/>
      </w:divBdr>
      <w:divsChild>
        <w:div w:id="1261455075">
          <w:marLeft w:val="0"/>
          <w:marRight w:val="0"/>
          <w:marTop w:val="0"/>
          <w:marBottom w:val="0"/>
          <w:divBdr>
            <w:top w:val="single" w:sz="2" w:space="0" w:color="E3E3E3"/>
            <w:left w:val="single" w:sz="2" w:space="0" w:color="E3E3E3"/>
            <w:bottom w:val="single" w:sz="2" w:space="0" w:color="E3E3E3"/>
            <w:right w:val="single" w:sz="2" w:space="0" w:color="E3E3E3"/>
          </w:divBdr>
          <w:divsChild>
            <w:div w:id="2059821488">
              <w:marLeft w:val="0"/>
              <w:marRight w:val="0"/>
              <w:marTop w:val="0"/>
              <w:marBottom w:val="0"/>
              <w:divBdr>
                <w:top w:val="single" w:sz="2" w:space="0" w:color="E3E3E3"/>
                <w:left w:val="single" w:sz="2" w:space="0" w:color="E3E3E3"/>
                <w:bottom w:val="single" w:sz="2" w:space="0" w:color="E3E3E3"/>
                <w:right w:val="single" w:sz="2" w:space="0" w:color="E3E3E3"/>
              </w:divBdr>
              <w:divsChild>
                <w:div w:id="153572945">
                  <w:marLeft w:val="0"/>
                  <w:marRight w:val="0"/>
                  <w:marTop w:val="0"/>
                  <w:marBottom w:val="0"/>
                  <w:divBdr>
                    <w:top w:val="single" w:sz="2" w:space="2" w:color="E3E3E3"/>
                    <w:left w:val="single" w:sz="2" w:space="0" w:color="E3E3E3"/>
                    <w:bottom w:val="single" w:sz="2" w:space="0" w:color="E3E3E3"/>
                    <w:right w:val="single" w:sz="2" w:space="0" w:color="E3E3E3"/>
                  </w:divBdr>
                  <w:divsChild>
                    <w:div w:id="1822127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291387">
      <w:bodyDiv w:val="1"/>
      <w:marLeft w:val="0"/>
      <w:marRight w:val="0"/>
      <w:marTop w:val="0"/>
      <w:marBottom w:val="0"/>
      <w:divBdr>
        <w:top w:val="none" w:sz="0" w:space="0" w:color="auto"/>
        <w:left w:val="none" w:sz="0" w:space="0" w:color="auto"/>
        <w:bottom w:val="none" w:sz="0" w:space="0" w:color="auto"/>
        <w:right w:val="none" w:sz="0" w:space="0" w:color="auto"/>
      </w:divBdr>
    </w:div>
    <w:div w:id="194848330">
      <w:bodyDiv w:val="1"/>
      <w:marLeft w:val="0"/>
      <w:marRight w:val="0"/>
      <w:marTop w:val="0"/>
      <w:marBottom w:val="0"/>
      <w:divBdr>
        <w:top w:val="none" w:sz="0" w:space="0" w:color="auto"/>
        <w:left w:val="none" w:sz="0" w:space="0" w:color="auto"/>
        <w:bottom w:val="none" w:sz="0" w:space="0" w:color="auto"/>
        <w:right w:val="none" w:sz="0" w:space="0" w:color="auto"/>
      </w:divBdr>
    </w:div>
    <w:div w:id="196430917">
      <w:bodyDiv w:val="1"/>
      <w:marLeft w:val="0"/>
      <w:marRight w:val="0"/>
      <w:marTop w:val="0"/>
      <w:marBottom w:val="0"/>
      <w:divBdr>
        <w:top w:val="none" w:sz="0" w:space="0" w:color="auto"/>
        <w:left w:val="none" w:sz="0" w:space="0" w:color="auto"/>
        <w:bottom w:val="none" w:sz="0" w:space="0" w:color="auto"/>
        <w:right w:val="none" w:sz="0" w:space="0" w:color="auto"/>
      </w:divBdr>
    </w:div>
    <w:div w:id="200362593">
      <w:bodyDiv w:val="1"/>
      <w:marLeft w:val="0"/>
      <w:marRight w:val="0"/>
      <w:marTop w:val="0"/>
      <w:marBottom w:val="0"/>
      <w:divBdr>
        <w:top w:val="none" w:sz="0" w:space="0" w:color="auto"/>
        <w:left w:val="none" w:sz="0" w:space="0" w:color="auto"/>
        <w:bottom w:val="none" w:sz="0" w:space="0" w:color="auto"/>
        <w:right w:val="none" w:sz="0" w:space="0" w:color="auto"/>
      </w:divBdr>
    </w:div>
    <w:div w:id="245114398">
      <w:bodyDiv w:val="1"/>
      <w:marLeft w:val="0"/>
      <w:marRight w:val="0"/>
      <w:marTop w:val="0"/>
      <w:marBottom w:val="0"/>
      <w:divBdr>
        <w:top w:val="none" w:sz="0" w:space="0" w:color="auto"/>
        <w:left w:val="none" w:sz="0" w:space="0" w:color="auto"/>
        <w:bottom w:val="none" w:sz="0" w:space="0" w:color="auto"/>
        <w:right w:val="none" w:sz="0" w:space="0" w:color="auto"/>
      </w:divBdr>
    </w:div>
    <w:div w:id="270358814">
      <w:bodyDiv w:val="1"/>
      <w:marLeft w:val="0"/>
      <w:marRight w:val="0"/>
      <w:marTop w:val="0"/>
      <w:marBottom w:val="0"/>
      <w:divBdr>
        <w:top w:val="none" w:sz="0" w:space="0" w:color="auto"/>
        <w:left w:val="none" w:sz="0" w:space="0" w:color="auto"/>
        <w:bottom w:val="none" w:sz="0" w:space="0" w:color="auto"/>
        <w:right w:val="none" w:sz="0" w:space="0" w:color="auto"/>
      </w:divBdr>
      <w:divsChild>
        <w:div w:id="1193760244">
          <w:marLeft w:val="446"/>
          <w:marRight w:val="0"/>
          <w:marTop w:val="60"/>
          <w:marBottom w:val="60"/>
          <w:divBdr>
            <w:top w:val="none" w:sz="0" w:space="0" w:color="auto"/>
            <w:left w:val="none" w:sz="0" w:space="0" w:color="auto"/>
            <w:bottom w:val="none" w:sz="0" w:space="0" w:color="auto"/>
            <w:right w:val="none" w:sz="0" w:space="0" w:color="auto"/>
          </w:divBdr>
        </w:div>
      </w:divsChild>
    </w:div>
    <w:div w:id="322049266">
      <w:bodyDiv w:val="1"/>
      <w:marLeft w:val="0"/>
      <w:marRight w:val="0"/>
      <w:marTop w:val="0"/>
      <w:marBottom w:val="0"/>
      <w:divBdr>
        <w:top w:val="none" w:sz="0" w:space="0" w:color="auto"/>
        <w:left w:val="none" w:sz="0" w:space="0" w:color="auto"/>
        <w:bottom w:val="none" w:sz="0" w:space="0" w:color="auto"/>
        <w:right w:val="none" w:sz="0" w:space="0" w:color="auto"/>
      </w:divBdr>
      <w:divsChild>
        <w:div w:id="319117435">
          <w:marLeft w:val="374"/>
          <w:marRight w:val="0"/>
          <w:marTop w:val="141"/>
          <w:marBottom w:val="0"/>
          <w:divBdr>
            <w:top w:val="none" w:sz="0" w:space="0" w:color="auto"/>
            <w:left w:val="none" w:sz="0" w:space="0" w:color="auto"/>
            <w:bottom w:val="none" w:sz="0" w:space="0" w:color="auto"/>
            <w:right w:val="none" w:sz="0" w:space="0" w:color="auto"/>
          </w:divBdr>
        </w:div>
      </w:divsChild>
    </w:div>
    <w:div w:id="325086063">
      <w:bodyDiv w:val="1"/>
      <w:marLeft w:val="0"/>
      <w:marRight w:val="0"/>
      <w:marTop w:val="0"/>
      <w:marBottom w:val="0"/>
      <w:divBdr>
        <w:top w:val="none" w:sz="0" w:space="0" w:color="auto"/>
        <w:left w:val="none" w:sz="0" w:space="0" w:color="auto"/>
        <w:bottom w:val="none" w:sz="0" w:space="0" w:color="auto"/>
        <w:right w:val="none" w:sz="0" w:space="0" w:color="auto"/>
      </w:divBdr>
    </w:div>
    <w:div w:id="341857537">
      <w:bodyDiv w:val="1"/>
      <w:marLeft w:val="0"/>
      <w:marRight w:val="0"/>
      <w:marTop w:val="0"/>
      <w:marBottom w:val="0"/>
      <w:divBdr>
        <w:top w:val="none" w:sz="0" w:space="0" w:color="auto"/>
        <w:left w:val="none" w:sz="0" w:space="0" w:color="auto"/>
        <w:bottom w:val="none" w:sz="0" w:space="0" w:color="auto"/>
        <w:right w:val="none" w:sz="0" w:space="0" w:color="auto"/>
      </w:divBdr>
    </w:div>
    <w:div w:id="371267580">
      <w:bodyDiv w:val="1"/>
      <w:marLeft w:val="0"/>
      <w:marRight w:val="0"/>
      <w:marTop w:val="0"/>
      <w:marBottom w:val="0"/>
      <w:divBdr>
        <w:top w:val="none" w:sz="0" w:space="0" w:color="auto"/>
        <w:left w:val="none" w:sz="0" w:space="0" w:color="auto"/>
        <w:bottom w:val="none" w:sz="0" w:space="0" w:color="auto"/>
        <w:right w:val="none" w:sz="0" w:space="0" w:color="auto"/>
      </w:divBdr>
    </w:div>
    <w:div w:id="414210373">
      <w:bodyDiv w:val="1"/>
      <w:marLeft w:val="0"/>
      <w:marRight w:val="0"/>
      <w:marTop w:val="0"/>
      <w:marBottom w:val="0"/>
      <w:divBdr>
        <w:top w:val="none" w:sz="0" w:space="0" w:color="auto"/>
        <w:left w:val="none" w:sz="0" w:space="0" w:color="auto"/>
        <w:bottom w:val="none" w:sz="0" w:space="0" w:color="auto"/>
        <w:right w:val="none" w:sz="0" w:space="0" w:color="auto"/>
      </w:divBdr>
    </w:div>
    <w:div w:id="462695683">
      <w:bodyDiv w:val="1"/>
      <w:marLeft w:val="0"/>
      <w:marRight w:val="0"/>
      <w:marTop w:val="0"/>
      <w:marBottom w:val="0"/>
      <w:divBdr>
        <w:top w:val="none" w:sz="0" w:space="0" w:color="auto"/>
        <w:left w:val="none" w:sz="0" w:space="0" w:color="auto"/>
        <w:bottom w:val="none" w:sz="0" w:space="0" w:color="auto"/>
        <w:right w:val="none" w:sz="0" w:space="0" w:color="auto"/>
      </w:divBdr>
    </w:div>
    <w:div w:id="463886602">
      <w:bodyDiv w:val="1"/>
      <w:marLeft w:val="0"/>
      <w:marRight w:val="0"/>
      <w:marTop w:val="0"/>
      <w:marBottom w:val="0"/>
      <w:divBdr>
        <w:top w:val="none" w:sz="0" w:space="0" w:color="auto"/>
        <w:left w:val="none" w:sz="0" w:space="0" w:color="auto"/>
        <w:bottom w:val="none" w:sz="0" w:space="0" w:color="auto"/>
        <w:right w:val="none" w:sz="0" w:space="0" w:color="auto"/>
      </w:divBdr>
    </w:div>
    <w:div w:id="487016402">
      <w:bodyDiv w:val="1"/>
      <w:marLeft w:val="0"/>
      <w:marRight w:val="0"/>
      <w:marTop w:val="0"/>
      <w:marBottom w:val="0"/>
      <w:divBdr>
        <w:top w:val="none" w:sz="0" w:space="0" w:color="auto"/>
        <w:left w:val="none" w:sz="0" w:space="0" w:color="auto"/>
        <w:bottom w:val="none" w:sz="0" w:space="0" w:color="auto"/>
        <w:right w:val="none" w:sz="0" w:space="0" w:color="auto"/>
      </w:divBdr>
      <w:divsChild>
        <w:div w:id="2084176433">
          <w:marLeft w:val="547"/>
          <w:marRight w:val="0"/>
          <w:marTop w:val="0"/>
          <w:marBottom w:val="0"/>
          <w:divBdr>
            <w:top w:val="none" w:sz="0" w:space="0" w:color="auto"/>
            <w:left w:val="none" w:sz="0" w:space="0" w:color="auto"/>
            <w:bottom w:val="none" w:sz="0" w:space="0" w:color="auto"/>
            <w:right w:val="none" w:sz="0" w:space="0" w:color="auto"/>
          </w:divBdr>
        </w:div>
      </w:divsChild>
    </w:div>
    <w:div w:id="499661250">
      <w:bodyDiv w:val="1"/>
      <w:marLeft w:val="0"/>
      <w:marRight w:val="0"/>
      <w:marTop w:val="0"/>
      <w:marBottom w:val="0"/>
      <w:divBdr>
        <w:top w:val="none" w:sz="0" w:space="0" w:color="auto"/>
        <w:left w:val="none" w:sz="0" w:space="0" w:color="auto"/>
        <w:bottom w:val="none" w:sz="0" w:space="0" w:color="auto"/>
        <w:right w:val="none" w:sz="0" w:space="0" w:color="auto"/>
      </w:divBdr>
    </w:div>
    <w:div w:id="553740839">
      <w:bodyDiv w:val="1"/>
      <w:marLeft w:val="0"/>
      <w:marRight w:val="0"/>
      <w:marTop w:val="0"/>
      <w:marBottom w:val="0"/>
      <w:divBdr>
        <w:top w:val="none" w:sz="0" w:space="0" w:color="auto"/>
        <w:left w:val="none" w:sz="0" w:space="0" w:color="auto"/>
        <w:bottom w:val="none" w:sz="0" w:space="0" w:color="auto"/>
        <w:right w:val="none" w:sz="0" w:space="0" w:color="auto"/>
      </w:divBdr>
    </w:div>
    <w:div w:id="575556065">
      <w:bodyDiv w:val="1"/>
      <w:marLeft w:val="0"/>
      <w:marRight w:val="0"/>
      <w:marTop w:val="0"/>
      <w:marBottom w:val="0"/>
      <w:divBdr>
        <w:top w:val="none" w:sz="0" w:space="0" w:color="auto"/>
        <w:left w:val="none" w:sz="0" w:space="0" w:color="auto"/>
        <w:bottom w:val="none" w:sz="0" w:space="0" w:color="auto"/>
        <w:right w:val="none" w:sz="0" w:space="0" w:color="auto"/>
      </w:divBdr>
    </w:div>
    <w:div w:id="595527126">
      <w:bodyDiv w:val="1"/>
      <w:marLeft w:val="0"/>
      <w:marRight w:val="0"/>
      <w:marTop w:val="0"/>
      <w:marBottom w:val="0"/>
      <w:divBdr>
        <w:top w:val="none" w:sz="0" w:space="0" w:color="auto"/>
        <w:left w:val="none" w:sz="0" w:space="0" w:color="auto"/>
        <w:bottom w:val="none" w:sz="0" w:space="0" w:color="auto"/>
        <w:right w:val="none" w:sz="0" w:space="0" w:color="auto"/>
      </w:divBdr>
    </w:div>
    <w:div w:id="680854552">
      <w:bodyDiv w:val="1"/>
      <w:marLeft w:val="0"/>
      <w:marRight w:val="0"/>
      <w:marTop w:val="0"/>
      <w:marBottom w:val="0"/>
      <w:divBdr>
        <w:top w:val="none" w:sz="0" w:space="0" w:color="auto"/>
        <w:left w:val="none" w:sz="0" w:space="0" w:color="auto"/>
        <w:bottom w:val="none" w:sz="0" w:space="0" w:color="auto"/>
        <w:right w:val="none" w:sz="0" w:space="0" w:color="auto"/>
      </w:divBdr>
    </w:div>
    <w:div w:id="774863093">
      <w:bodyDiv w:val="1"/>
      <w:marLeft w:val="0"/>
      <w:marRight w:val="0"/>
      <w:marTop w:val="0"/>
      <w:marBottom w:val="0"/>
      <w:divBdr>
        <w:top w:val="none" w:sz="0" w:space="0" w:color="auto"/>
        <w:left w:val="none" w:sz="0" w:space="0" w:color="auto"/>
        <w:bottom w:val="none" w:sz="0" w:space="0" w:color="auto"/>
        <w:right w:val="none" w:sz="0" w:space="0" w:color="auto"/>
      </w:divBdr>
      <w:divsChild>
        <w:div w:id="1565986149">
          <w:marLeft w:val="418"/>
          <w:marRight w:val="0"/>
          <w:marTop w:val="0"/>
          <w:marBottom w:val="0"/>
          <w:divBdr>
            <w:top w:val="none" w:sz="0" w:space="0" w:color="auto"/>
            <w:left w:val="none" w:sz="0" w:space="0" w:color="auto"/>
            <w:bottom w:val="none" w:sz="0" w:space="0" w:color="auto"/>
            <w:right w:val="none" w:sz="0" w:space="0" w:color="auto"/>
          </w:divBdr>
        </w:div>
        <w:div w:id="1825704163">
          <w:marLeft w:val="418"/>
          <w:marRight w:val="0"/>
          <w:marTop w:val="0"/>
          <w:marBottom w:val="0"/>
          <w:divBdr>
            <w:top w:val="none" w:sz="0" w:space="0" w:color="auto"/>
            <w:left w:val="none" w:sz="0" w:space="0" w:color="auto"/>
            <w:bottom w:val="none" w:sz="0" w:space="0" w:color="auto"/>
            <w:right w:val="none" w:sz="0" w:space="0" w:color="auto"/>
          </w:divBdr>
        </w:div>
        <w:div w:id="2034111440">
          <w:marLeft w:val="418"/>
          <w:marRight w:val="0"/>
          <w:marTop w:val="0"/>
          <w:marBottom w:val="0"/>
          <w:divBdr>
            <w:top w:val="none" w:sz="0" w:space="0" w:color="auto"/>
            <w:left w:val="none" w:sz="0" w:space="0" w:color="auto"/>
            <w:bottom w:val="none" w:sz="0" w:space="0" w:color="auto"/>
            <w:right w:val="none" w:sz="0" w:space="0" w:color="auto"/>
          </w:divBdr>
        </w:div>
        <w:div w:id="278414826">
          <w:marLeft w:val="418"/>
          <w:marRight w:val="0"/>
          <w:marTop w:val="0"/>
          <w:marBottom w:val="0"/>
          <w:divBdr>
            <w:top w:val="none" w:sz="0" w:space="0" w:color="auto"/>
            <w:left w:val="none" w:sz="0" w:space="0" w:color="auto"/>
            <w:bottom w:val="none" w:sz="0" w:space="0" w:color="auto"/>
            <w:right w:val="none" w:sz="0" w:space="0" w:color="auto"/>
          </w:divBdr>
        </w:div>
      </w:divsChild>
    </w:div>
    <w:div w:id="815535778">
      <w:bodyDiv w:val="1"/>
      <w:marLeft w:val="0"/>
      <w:marRight w:val="0"/>
      <w:marTop w:val="0"/>
      <w:marBottom w:val="0"/>
      <w:divBdr>
        <w:top w:val="none" w:sz="0" w:space="0" w:color="auto"/>
        <w:left w:val="none" w:sz="0" w:space="0" w:color="auto"/>
        <w:bottom w:val="none" w:sz="0" w:space="0" w:color="auto"/>
        <w:right w:val="none" w:sz="0" w:space="0" w:color="auto"/>
      </w:divBdr>
    </w:div>
    <w:div w:id="821896464">
      <w:bodyDiv w:val="1"/>
      <w:marLeft w:val="0"/>
      <w:marRight w:val="0"/>
      <w:marTop w:val="0"/>
      <w:marBottom w:val="0"/>
      <w:divBdr>
        <w:top w:val="none" w:sz="0" w:space="0" w:color="auto"/>
        <w:left w:val="none" w:sz="0" w:space="0" w:color="auto"/>
        <w:bottom w:val="none" w:sz="0" w:space="0" w:color="auto"/>
        <w:right w:val="none" w:sz="0" w:space="0" w:color="auto"/>
      </w:divBdr>
    </w:div>
    <w:div w:id="867641801">
      <w:bodyDiv w:val="1"/>
      <w:marLeft w:val="0"/>
      <w:marRight w:val="0"/>
      <w:marTop w:val="0"/>
      <w:marBottom w:val="0"/>
      <w:divBdr>
        <w:top w:val="none" w:sz="0" w:space="0" w:color="auto"/>
        <w:left w:val="none" w:sz="0" w:space="0" w:color="auto"/>
        <w:bottom w:val="none" w:sz="0" w:space="0" w:color="auto"/>
        <w:right w:val="none" w:sz="0" w:space="0" w:color="auto"/>
      </w:divBdr>
    </w:div>
    <w:div w:id="883448162">
      <w:bodyDiv w:val="1"/>
      <w:marLeft w:val="0"/>
      <w:marRight w:val="0"/>
      <w:marTop w:val="0"/>
      <w:marBottom w:val="0"/>
      <w:divBdr>
        <w:top w:val="none" w:sz="0" w:space="0" w:color="auto"/>
        <w:left w:val="none" w:sz="0" w:space="0" w:color="auto"/>
        <w:bottom w:val="none" w:sz="0" w:space="0" w:color="auto"/>
        <w:right w:val="none" w:sz="0" w:space="0" w:color="auto"/>
      </w:divBdr>
    </w:div>
    <w:div w:id="925846571">
      <w:bodyDiv w:val="1"/>
      <w:marLeft w:val="0"/>
      <w:marRight w:val="0"/>
      <w:marTop w:val="0"/>
      <w:marBottom w:val="0"/>
      <w:divBdr>
        <w:top w:val="none" w:sz="0" w:space="0" w:color="auto"/>
        <w:left w:val="none" w:sz="0" w:space="0" w:color="auto"/>
        <w:bottom w:val="none" w:sz="0" w:space="0" w:color="auto"/>
        <w:right w:val="none" w:sz="0" w:space="0" w:color="auto"/>
      </w:divBdr>
      <w:divsChild>
        <w:div w:id="515193943">
          <w:marLeft w:val="418"/>
          <w:marRight w:val="0"/>
          <w:marTop w:val="0"/>
          <w:marBottom w:val="0"/>
          <w:divBdr>
            <w:top w:val="none" w:sz="0" w:space="0" w:color="auto"/>
            <w:left w:val="none" w:sz="0" w:space="0" w:color="auto"/>
            <w:bottom w:val="none" w:sz="0" w:space="0" w:color="auto"/>
            <w:right w:val="none" w:sz="0" w:space="0" w:color="auto"/>
          </w:divBdr>
        </w:div>
        <w:div w:id="176501542">
          <w:marLeft w:val="418"/>
          <w:marRight w:val="0"/>
          <w:marTop w:val="0"/>
          <w:marBottom w:val="0"/>
          <w:divBdr>
            <w:top w:val="none" w:sz="0" w:space="0" w:color="auto"/>
            <w:left w:val="none" w:sz="0" w:space="0" w:color="auto"/>
            <w:bottom w:val="none" w:sz="0" w:space="0" w:color="auto"/>
            <w:right w:val="none" w:sz="0" w:space="0" w:color="auto"/>
          </w:divBdr>
        </w:div>
        <w:div w:id="320937381">
          <w:marLeft w:val="418"/>
          <w:marRight w:val="0"/>
          <w:marTop w:val="0"/>
          <w:marBottom w:val="0"/>
          <w:divBdr>
            <w:top w:val="none" w:sz="0" w:space="0" w:color="auto"/>
            <w:left w:val="none" w:sz="0" w:space="0" w:color="auto"/>
            <w:bottom w:val="none" w:sz="0" w:space="0" w:color="auto"/>
            <w:right w:val="none" w:sz="0" w:space="0" w:color="auto"/>
          </w:divBdr>
        </w:div>
        <w:div w:id="1226338270">
          <w:marLeft w:val="418"/>
          <w:marRight w:val="0"/>
          <w:marTop w:val="0"/>
          <w:marBottom w:val="0"/>
          <w:divBdr>
            <w:top w:val="none" w:sz="0" w:space="0" w:color="auto"/>
            <w:left w:val="none" w:sz="0" w:space="0" w:color="auto"/>
            <w:bottom w:val="none" w:sz="0" w:space="0" w:color="auto"/>
            <w:right w:val="none" w:sz="0" w:space="0" w:color="auto"/>
          </w:divBdr>
        </w:div>
      </w:divsChild>
    </w:div>
    <w:div w:id="967126875">
      <w:bodyDiv w:val="1"/>
      <w:marLeft w:val="0"/>
      <w:marRight w:val="0"/>
      <w:marTop w:val="0"/>
      <w:marBottom w:val="0"/>
      <w:divBdr>
        <w:top w:val="none" w:sz="0" w:space="0" w:color="auto"/>
        <w:left w:val="none" w:sz="0" w:space="0" w:color="auto"/>
        <w:bottom w:val="none" w:sz="0" w:space="0" w:color="auto"/>
        <w:right w:val="none" w:sz="0" w:space="0" w:color="auto"/>
      </w:divBdr>
      <w:divsChild>
        <w:div w:id="1387922083">
          <w:marLeft w:val="0"/>
          <w:marRight w:val="0"/>
          <w:marTop w:val="0"/>
          <w:marBottom w:val="0"/>
          <w:divBdr>
            <w:top w:val="single" w:sz="2" w:space="0" w:color="E3E3E3"/>
            <w:left w:val="single" w:sz="2" w:space="0" w:color="E3E3E3"/>
            <w:bottom w:val="single" w:sz="2" w:space="0" w:color="E3E3E3"/>
            <w:right w:val="single" w:sz="2" w:space="0" w:color="E3E3E3"/>
          </w:divBdr>
          <w:divsChild>
            <w:div w:id="754129070">
              <w:marLeft w:val="0"/>
              <w:marRight w:val="0"/>
              <w:marTop w:val="0"/>
              <w:marBottom w:val="0"/>
              <w:divBdr>
                <w:top w:val="single" w:sz="2" w:space="0" w:color="E3E3E3"/>
                <w:left w:val="single" w:sz="2" w:space="0" w:color="E3E3E3"/>
                <w:bottom w:val="single" w:sz="2" w:space="0" w:color="E3E3E3"/>
                <w:right w:val="single" w:sz="2" w:space="0" w:color="E3E3E3"/>
              </w:divBdr>
              <w:divsChild>
                <w:div w:id="643774022">
                  <w:marLeft w:val="0"/>
                  <w:marRight w:val="0"/>
                  <w:marTop w:val="0"/>
                  <w:marBottom w:val="0"/>
                  <w:divBdr>
                    <w:top w:val="single" w:sz="2" w:space="2" w:color="E3E3E3"/>
                    <w:left w:val="single" w:sz="2" w:space="0" w:color="E3E3E3"/>
                    <w:bottom w:val="single" w:sz="2" w:space="0" w:color="E3E3E3"/>
                    <w:right w:val="single" w:sz="2" w:space="0" w:color="E3E3E3"/>
                  </w:divBdr>
                  <w:divsChild>
                    <w:div w:id="12026661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7395878">
      <w:bodyDiv w:val="1"/>
      <w:marLeft w:val="0"/>
      <w:marRight w:val="0"/>
      <w:marTop w:val="0"/>
      <w:marBottom w:val="0"/>
      <w:divBdr>
        <w:top w:val="none" w:sz="0" w:space="0" w:color="auto"/>
        <w:left w:val="none" w:sz="0" w:space="0" w:color="auto"/>
        <w:bottom w:val="none" w:sz="0" w:space="0" w:color="auto"/>
        <w:right w:val="none" w:sz="0" w:space="0" w:color="auto"/>
      </w:divBdr>
    </w:div>
    <w:div w:id="1091974999">
      <w:bodyDiv w:val="1"/>
      <w:marLeft w:val="0"/>
      <w:marRight w:val="0"/>
      <w:marTop w:val="0"/>
      <w:marBottom w:val="0"/>
      <w:divBdr>
        <w:top w:val="none" w:sz="0" w:space="0" w:color="auto"/>
        <w:left w:val="none" w:sz="0" w:space="0" w:color="auto"/>
        <w:bottom w:val="none" w:sz="0" w:space="0" w:color="auto"/>
        <w:right w:val="none" w:sz="0" w:space="0" w:color="auto"/>
      </w:divBdr>
    </w:div>
    <w:div w:id="1154907390">
      <w:bodyDiv w:val="1"/>
      <w:marLeft w:val="0"/>
      <w:marRight w:val="0"/>
      <w:marTop w:val="0"/>
      <w:marBottom w:val="0"/>
      <w:divBdr>
        <w:top w:val="none" w:sz="0" w:space="0" w:color="auto"/>
        <w:left w:val="none" w:sz="0" w:space="0" w:color="auto"/>
        <w:bottom w:val="none" w:sz="0" w:space="0" w:color="auto"/>
        <w:right w:val="none" w:sz="0" w:space="0" w:color="auto"/>
      </w:divBdr>
    </w:div>
    <w:div w:id="1211917478">
      <w:bodyDiv w:val="1"/>
      <w:marLeft w:val="0"/>
      <w:marRight w:val="0"/>
      <w:marTop w:val="0"/>
      <w:marBottom w:val="0"/>
      <w:divBdr>
        <w:top w:val="none" w:sz="0" w:space="0" w:color="auto"/>
        <w:left w:val="none" w:sz="0" w:space="0" w:color="auto"/>
        <w:bottom w:val="none" w:sz="0" w:space="0" w:color="auto"/>
        <w:right w:val="none" w:sz="0" w:space="0" w:color="auto"/>
      </w:divBdr>
      <w:divsChild>
        <w:div w:id="722095349">
          <w:marLeft w:val="0"/>
          <w:marRight w:val="0"/>
          <w:marTop w:val="0"/>
          <w:marBottom w:val="0"/>
          <w:divBdr>
            <w:top w:val="none" w:sz="0" w:space="0" w:color="auto"/>
            <w:left w:val="none" w:sz="0" w:space="0" w:color="auto"/>
            <w:bottom w:val="none" w:sz="0" w:space="0" w:color="auto"/>
            <w:right w:val="none" w:sz="0" w:space="0" w:color="auto"/>
          </w:divBdr>
          <w:divsChild>
            <w:div w:id="1521890497">
              <w:marLeft w:val="0"/>
              <w:marRight w:val="0"/>
              <w:marTop w:val="0"/>
              <w:marBottom w:val="0"/>
              <w:divBdr>
                <w:top w:val="none" w:sz="0" w:space="0" w:color="auto"/>
                <w:left w:val="none" w:sz="0" w:space="0" w:color="auto"/>
                <w:bottom w:val="none" w:sz="0" w:space="0" w:color="auto"/>
                <w:right w:val="none" w:sz="0" w:space="0" w:color="auto"/>
              </w:divBdr>
            </w:div>
            <w:div w:id="1908764449">
              <w:marLeft w:val="0"/>
              <w:marRight w:val="0"/>
              <w:marTop w:val="0"/>
              <w:marBottom w:val="0"/>
              <w:divBdr>
                <w:top w:val="none" w:sz="0" w:space="0" w:color="auto"/>
                <w:left w:val="none" w:sz="0" w:space="0" w:color="auto"/>
                <w:bottom w:val="none" w:sz="0" w:space="0" w:color="auto"/>
                <w:right w:val="none" w:sz="0" w:space="0" w:color="auto"/>
              </w:divBdr>
            </w:div>
            <w:div w:id="1696418226">
              <w:marLeft w:val="0"/>
              <w:marRight w:val="0"/>
              <w:marTop w:val="0"/>
              <w:marBottom w:val="0"/>
              <w:divBdr>
                <w:top w:val="none" w:sz="0" w:space="0" w:color="auto"/>
                <w:left w:val="none" w:sz="0" w:space="0" w:color="auto"/>
                <w:bottom w:val="none" w:sz="0" w:space="0" w:color="auto"/>
                <w:right w:val="none" w:sz="0" w:space="0" w:color="auto"/>
              </w:divBdr>
            </w:div>
            <w:div w:id="1046174038">
              <w:marLeft w:val="0"/>
              <w:marRight w:val="0"/>
              <w:marTop w:val="0"/>
              <w:marBottom w:val="0"/>
              <w:divBdr>
                <w:top w:val="none" w:sz="0" w:space="0" w:color="auto"/>
                <w:left w:val="none" w:sz="0" w:space="0" w:color="auto"/>
                <w:bottom w:val="none" w:sz="0" w:space="0" w:color="auto"/>
                <w:right w:val="none" w:sz="0" w:space="0" w:color="auto"/>
              </w:divBdr>
            </w:div>
            <w:div w:id="1585066417">
              <w:marLeft w:val="0"/>
              <w:marRight w:val="0"/>
              <w:marTop w:val="0"/>
              <w:marBottom w:val="0"/>
              <w:divBdr>
                <w:top w:val="none" w:sz="0" w:space="0" w:color="auto"/>
                <w:left w:val="none" w:sz="0" w:space="0" w:color="auto"/>
                <w:bottom w:val="none" w:sz="0" w:space="0" w:color="auto"/>
                <w:right w:val="none" w:sz="0" w:space="0" w:color="auto"/>
              </w:divBdr>
            </w:div>
            <w:div w:id="1786466634">
              <w:marLeft w:val="0"/>
              <w:marRight w:val="0"/>
              <w:marTop w:val="0"/>
              <w:marBottom w:val="0"/>
              <w:divBdr>
                <w:top w:val="none" w:sz="0" w:space="0" w:color="auto"/>
                <w:left w:val="none" w:sz="0" w:space="0" w:color="auto"/>
                <w:bottom w:val="none" w:sz="0" w:space="0" w:color="auto"/>
                <w:right w:val="none" w:sz="0" w:space="0" w:color="auto"/>
              </w:divBdr>
            </w:div>
            <w:div w:id="724834220">
              <w:marLeft w:val="0"/>
              <w:marRight w:val="0"/>
              <w:marTop w:val="0"/>
              <w:marBottom w:val="0"/>
              <w:divBdr>
                <w:top w:val="none" w:sz="0" w:space="0" w:color="auto"/>
                <w:left w:val="none" w:sz="0" w:space="0" w:color="auto"/>
                <w:bottom w:val="none" w:sz="0" w:space="0" w:color="auto"/>
                <w:right w:val="none" w:sz="0" w:space="0" w:color="auto"/>
              </w:divBdr>
            </w:div>
          </w:divsChild>
        </w:div>
        <w:div w:id="293801453">
          <w:marLeft w:val="0"/>
          <w:marRight w:val="0"/>
          <w:marTop w:val="0"/>
          <w:marBottom w:val="0"/>
          <w:divBdr>
            <w:top w:val="none" w:sz="0" w:space="0" w:color="auto"/>
            <w:left w:val="none" w:sz="0" w:space="0" w:color="auto"/>
            <w:bottom w:val="none" w:sz="0" w:space="0" w:color="auto"/>
            <w:right w:val="none" w:sz="0" w:space="0" w:color="auto"/>
          </w:divBdr>
          <w:divsChild>
            <w:div w:id="2073969134">
              <w:marLeft w:val="0"/>
              <w:marRight w:val="0"/>
              <w:marTop w:val="0"/>
              <w:marBottom w:val="0"/>
              <w:divBdr>
                <w:top w:val="none" w:sz="0" w:space="0" w:color="auto"/>
                <w:left w:val="none" w:sz="0" w:space="0" w:color="auto"/>
                <w:bottom w:val="none" w:sz="0" w:space="0" w:color="auto"/>
                <w:right w:val="none" w:sz="0" w:space="0" w:color="auto"/>
              </w:divBdr>
            </w:div>
            <w:div w:id="1618102722">
              <w:marLeft w:val="0"/>
              <w:marRight w:val="0"/>
              <w:marTop w:val="0"/>
              <w:marBottom w:val="0"/>
              <w:divBdr>
                <w:top w:val="none" w:sz="0" w:space="0" w:color="auto"/>
                <w:left w:val="none" w:sz="0" w:space="0" w:color="auto"/>
                <w:bottom w:val="none" w:sz="0" w:space="0" w:color="auto"/>
                <w:right w:val="none" w:sz="0" w:space="0" w:color="auto"/>
              </w:divBdr>
              <w:divsChild>
                <w:div w:id="1801458451">
                  <w:marLeft w:val="0"/>
                  <w:marRight w:val="0"/>
                  <w:marTop w:val="0"/>
                  <w:marBottom w:val="0"/>
                  <w:divBdr>
                    <w:top w:val="none" w:sz="0" w:space="0" w:color="auto"/>
                    <w:left w:val="none" w:sz="0" w:space="0" w:color="auto"/>
                    <w:bottom w:val="none" w:sz="0" w:space="0" w:color="auto"/>
                    <w:right w:val="none" w:sz="0" w:space="0" w:color="auto"/>
                  </w:divBdr>
                </w:div>
              </w:divsChild>
            </w:div>
            <w:div w:id="1292982499">
              <w:marLeft w:val="600"/>
              <w:marRight w:val="600"/>
              <w:marTop w:val="280"/>
              <w:marBottom w:val="280"/>
              <w:divBdr>
                <w:top w:val="none" w:sz="0" w:space="0" w:color="auto"/>
                <w:left w:val="none" w:sz="0" w:space="0" w:color="auto"/>
                <w:bottom w:val="none" w:sz="0" w:space="0" w:color="auto"/>
                <w:right w:val="none" w:sz="0" w:space="0" w:color="auto"/>
              </w:divBdr>
              <w:divsChild>
                <w:div w:id="1482044198">
                  <w:marLeft w:val="0"/>
                  <w:marRight w:val="0"/>
                  <w:marTop w:val="0"/>
                  <w:marBottom w:val="0"/>
                  <w:divBdr>
                    <w:top w:val="none" w:sz="0" w:space="0" w:color="auto"/>
                    <w:left w:val="none" w:sz="0" w:space="0" w:color="auto"/>
                    <w:bottom w:val="none" w:sz="0" w:space="0" w:color="auto"/>
                    <w:right w:val="none" w:sz="0" w:space="0" w:color="auto"/>
                  </w:divBdr>
                  <w:divsChild>
                    <w:div w:id="1302266579">
                      <w:marLeft w:val="0"/>
                      <w:marRight w:val="0"/>
                      <w:marTop w:val="0"/>
                      <w:marBottom w:val="0"/>
                      <w:divBdr>
                        <w:top w:val="none" w:sz="0" w:space="0" w:color="auto"/>
                        <w:left w:val="none" w:sz="0" w:space="0" w:color="auto"/>
                        <w:bottom w:val="none" w:sz="0" w:space="0" w:color="auto"/>
                        <w:right w:val="none" w:sz="0" w:space="0" w:color="auto"/>
                      </w:divBdr>
                      <w:divsChild>
                        <w:div w:id="504789680">
                          <w:marLeft w:val="0"/>
                          <w:marRight w:val="0"/>
                          <w:marTop w:val="0"/>
                          <w:marBottom w:val="0"/>
                          <w:divBdr>
                            <w:top w:val="none" w:sz="0" w:space="0" w:color="auto"/>
                            <w:left w:val="none" w:sz="0" w:space="0" w:color="auto"/>
                            <w:bottom w:val="none" w:sz="0" w:space="0" w:color="auto"/>
                            <w:right w:val="none" w:sz="0" w:space="0" w:color="auto"/>
                          </w:divBdr>
                          <w:divsChild>
                            <w:div w:id="954410051">
                              <w:marLeft w:val="0"/>
                              <w:marRight w:val="0"/>
                              <w:marTop w:val="0"/>
                              <w:marBottom w:val="0"/>
                              <w:divBdr>
                                <w:top w:val="none" w:sz="0" w:space="0" w:color="auto"/>
                                <w:left w:val="none" w:sz="0" w:space="0" w:color="auto"/>
                                <w:bottom w:val="none" w:sz="0" w:space="0" w:color="auto"/>
                                <w:right w:val="none" w:sz="0" w:space="0" w:color="auto"/>
                              </w:divBdr>
                              <w:divsChild>
                                <w:div w:id="1031607650">
                                  <w:marLeft w:val="0"/>
                                  <w:marRight w:val="0"/>
                                  <w:marTop w:val="0"/>
                                  <w:marBottom w:val="0"/>
                                  <w:divBdr>
                                    <w:top w:val="none" w:sz="0" w:space="0" w:color="auto"/>
                                    <w:left w:val="none" w:sz="0" w:space="0" w:color="auto"/>
                                    <w:bottom w:val="none" w:sz="0" w:space="0" w:color="auto"/>
                                    <w:right w:val="none" w:sz="0" w:space="0" w:color="auto"/>
                                  </w:divBdr>
                                </w:div>
                                <w:div w:id="1312980052">
                                  <w:marLeft w:val="0"/>
                                  <w:marRight w:val="0"/>
                                  <w:marTop w:val="0"/>
                                  <w:marBottom w:val="0"/>
                                  <w:divBdr>
                                    <w:top w:val="none" w:sz="0" w:space="0" w:color="auto"/>
                                    <w:left w:val="none" w:sz="0" w:space="0" w:color="auto"/>
                                    <w:bottom w:val="none" w:sz="0" w:space="0" w:color="auto"/>
                                    <w:right w:val="none" w:sz="0" w:space="0" w:color="auto"/>
                                  </w:divBdr>
                                </w:div>
                                <w:div w:id="1328552596">
                                  <w:marLeft w:val="0"/>
                                  <w:marRight w:val="0"/>
                                  <w:marTop w:val="0"/>
                                  <w:marBottom w:val="0"/>
                                  <w:divBdr>
                                    <w:top w:val="none" w:sz="0" w:space="0" w:color="auto"/>
                                    <w:left w:val="none" w:sz="0" w:space="0" w:color="auto"/>
                                    <w:bottom w:val="none" w:sz="0" w:space="0" w:color="auto"/>
                                    <w:right w:val="none" w:sz="0" w:space="0" w:color="auto"/>
                                  </w:divBdr>
                                </w:div>
                                <w:div w:id="780495626">
                                  <w:marLeft w:val="0"/>
                                  <w:marRight w:val="0"/>
                                  <w:marTop w:val="0"/>
                                  <w:marBottom w:val="0"/>
                                  <w:divBdr>
                                    <w:top w:val="none" w:sz="0" w:space="0" w:color="auto"/>
                                    <w:left w:val="none" w:sz="0" w:space="0" w:color="auto"/>
                                    <w:bottom w:val="none" w:sz="0" w:space="0" w:color="auto"/>
                                    <w:right w:val="none" w:sz="0" w:space="0" w:color="auto"/>
                                  </w:divBdr>
                                </w:div>
                                <w:div w:id="187645925">
                                  <w:marLeft w:val="0"/>
                                  <w:marRight w:val="0"/>
                                  <w:marTop w:val="0"/>
                                  <w:marBottom w:val="0"/>
                                  <w:divBdr>
                                    <w:top w:val="none" w:sz="0" w:space="0" w:color="auto"/>
                                    <w:left w:val="none" w:sz="0" w:space="0" w:color="auto"/>
                                    <w:bottom w:val="none" w:sz="0" w:space="0" w:color="auto"/>
                                    <w:right w:val="none" w:sz="0" w:space="0" w:color="auto"/>
                                  </w:divBdr>
                                </w:div>
                                <w:div w:id="1377702764">
                                  <w:marLeft w:val="0"/>
                                  <w:marRight w:val="0"/>
                                  <w:marTop w:val="0"/>
                                  <w:marBottom w:val="0"/>
                                  <w:divBdr>
                                    <w:top w:val="none" w:sz="0" w:space="0" w:color="auto"/>
                                    <w:left w:val="none" w:sz="0" w:space="0" w:color="auto"/>
                                    <w:bottom w:val="none" w:sz="0" w:space="0" w:color="auto"/>
                                    <w:right w:val="none" w:sz="0" w:space="0" w:color="auto"/>
                                  </w:divBdr>
                                </w:div>
                                <w:div w:id="1594895973">
                                  <w:marLeft w:val="0"/>
                                  <w:marRight w:val="0"/>
                                  <w:marTop w:val="0"/>
                                  <w:marBottom w:val="0"/>
                                  <w:divBdr>
                                    <w:top w:val="none" w:sz="0" w:space="0" w:color="auto"/>
                                    <w:left w:val="none" w:sz="0" w:space="0" w:color="auto"/>
                                    <w:bottom w:val="none" w:sz="0" w:space="0" w:color="auto"/>
                                    <w:right w:val="none" w:sz="0" w:space="0" w:color="auto"/>
                                  </w:divBdr>
                                </w:div>
                                <w:div w:id="1985692115">
                                  <w:marLeft w:val="0"/>
                                  <w:marRight w:val="0"/>
                                  <w:marTop w:val="0"/>
                                  <w:marBottom w:val="0"/>
                                  <w:divBdr>
                                    <w:top w:val="none" w:sz="0" w:space="0" w:color="auto"/>
                                    <w:left w:val="none" w:sz="0" w:space="0" w:color="auto"/>
                                    <w:bottom w:val="none" w:sz="0" w:space="0" w:color="auto"/>
                                    <w:right w:val="none" w:sz="0" w:space="0" w:color="auto"/>
                                  </w:divBdr>
                                </w:div>
                                <w:div w:id="1760367753">
                                  <w:marLeft w:val="0"/>
                                  <w:marRight w:val="0"/>
                                  <w:marTop w:val="0"/>
                                  <w:marBottom w:val="0"/>
                                  <w:divBdr>
                                    <w:top w:val="none" w:sz="0" w:space="0" w:color="auto"/>
                                    <w:left w:val="none" w:sz="0" w:space="0" w:color="auto"/>
                                    <w:bottom w:val="none" w:sz="0" w:space="0" w:color="auto"/>
                                    <w:right w:val="none" w:sz="0" w:space="0" w:color="auto"/>
                                  </w:divBdr>
                                </w:div>
                                <w:div w:id="1598055634">
                                  <w:marLeft w:val="0"/>
                                  <w:marRight w:val="0"/>
                                  <w:marTop w:val="0"/>
                                  <w:marBottom w:val="0"/>
                                  <w:divBdr>
                                    <w:top w:val="none" w:sz="0" w:space="0" w:color="auto"/>
                                    <w:left w:val="none" w:sz="0" w:space="0" w:color="auto"/>
                                    <w:bottom w:val="none" w:sz="0" w:space="0" w:color="auto"/>
                                    <w:right w:val="none" w:sz="0" w:space="0" w:color="auto"/>
                                  </w:divBdr>
                                </w:div>
                                <w:div w:id="186489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270843">
      <w:bodyDiv w:val="1"/>
      <w:marLeft w:val="0"/>
      <w:marRight w:val="0"/>
      <w:marTop w:val="0"/>
      <w:marBottom w:val="0"/>
      <w:divBdr>
        <w:top w:val="none" w:sz="0" w:space="0" w:color="auto"/>
        <w:left w:val="none" w:sz="0" w:space="0" w:color="auto"/>
        <w:bottom w:val="none" w:sz="0" w:space="0" w:color="auto"/>
        <w:right w:val="none" w:sz="0" w:space="0" w:color="auto"/>
      </w:divBdr>
    </w:div>
    <w:div w:id="1242330911">
      <w:bodyDiv w:val="1"/>
      <w:marLeft w:val="0"/>
      <w:marRight w:val="0"/>
      <w:marTop w:val="0"/>
      <w:marBottom w:val="0"/>
      <w:divBdr>
        <w:top w:val="none" w:sz="0" w:space="0" w:color="auto"/>
        <w:left w:val="none" w:sz="0" w:space="0" w:color="auto"/>
        <w:bottom w:val="none" w:sz="0" w:space="0" w:color="auto"/>
        <w:right w:val="none" w:sz="0" w:space="0" w:color="auto"/>
      </w:divBdr>
    </w:div>
    <w:div w:id="1348749256">
      <w:bodyDiv w:val="1"/>
      <w:marLeft w:val="0"/>
      <w:marRight w:val="0"/>
      <w:marTop w:val="0"/>
      <w:marBottom w:val="0"/>
      <w:divBdr>
        <w:top w:val="none" w:sz="0" w:space="0" w:color="auto"/>
        <w:left w:val="none" w:sz="0" w:space="0" w:color="auto"/>
        <w:bottom w:val="none" w:sz="0" w:space="0" w:color="auto"/>
        <w:right w:val="none" w:sz="0" w:space="0" w:color="auto"/>
      </w:divBdr>
    </w:div>
    <w:div w:id="1392191515">
      <w:bodyDiv w:val="1"/>
      <w:marLeft w:val="0"/>
      <w:marRight w:val="0"/>
      <w:marTop w:val="0"/>
      <w:marBottom w:val="0"/>
      <w:divBdr>
        <w:top w:val="none" w:sz="0" w:space="0" w:color="auto"/>
        <w:left w:val="none" w:sz="0" w:space="0" w:color="auto"/>
        <w:bottom w:val="none" w:sz="0" w:space="0" w:color="auto"/>
        <w:right w:val="none" w:sz="0" w:space="0" w:color="auto"/>
      </w:divBdr>
      <w:divsChild>
        <w:div w:id="1628504740">
          <w:marLeft w:val="374"/>
          <w:marRight w:val="0"/>
          <w:marTop w:val="141"/>
          <w:marBottom w:val="0"/>
          <w:divBdr>
            <w:top w:val="none" w:sz="0" w:space="0" w:color="auto"/>
            <w:left w:val="none" w:sz="0" w:space="0" w:color="auto"/>
            <w:bottom w:val="none" w:sz="0" w:space="0" w:color="auto"/>
            <w:right w:val="none" w:sz="0" w:space="0" w:color="auto"/>
          </w:divBdr>
        </w:div>
      </w:divsChild>
    </w:div>
    <w:div w:id="1399942001">
      <w:bodyDiv w:val="1"/>
      <w:marLeft w:val="0"/>
      <w:marRight w:val="0"/>
      <w:marTop w:val="0"/>
      <w:marBottom w:val="0"/>
      <w:divBdr>
        <w:top w:val="none" w:sz="0" w:space="0" w:color="auto"/>
        <w:left w:val="none" w:sz="0" w:space="0" w:color="auto"/>
        <w:bottom w:val="none" w:sz="0" w:space="0" w:color="auto"/>
        <w:right w:val="none" w:sz="0" w:space="0" w:color="auto"/>
      </w:divBdr>
    </w:div>
    <w:div w:id="1422068471">
      <w:bodyDiv w:val="1"/>
      <w:marLeft w:val="0"/>
      <w:marRight w:val="0"/>
      <w:marTop w:val="0"/>
      <w:marBottom w:val="0"/>
      <w:divBdr>
        <w:top w:val="none" w:sz="0" w:space="0" w:color="auto"/>
        <w:left w:val="none" w:sz="0" w:space="0" w:color="auto"/>
        <w:bottom w:val="none" w:sz="0" w:space="0" w:color="auto"/>
        <w:right w:val="none" w:sz="0" w:space="0" w:color="auto"/>
      </w:divBdr>
    </w:div>
    <w:div w:id="1431583041">
      <w:bodyDiv w:val="1"/>
      <w:marLeft w:val="0"/>
      <w:marRight w:val="0"/>
      <w:marTop w:val="0"/>
      <w:marBottom w:val="0"/>
      <w:divBdr>
        <w:top w:val="none" w:sz="0" w:space="0" w:color="auto"/>
        <w:left w:val="none" w:sz="0" w:space="0" w:color="auto"/>
        <w:bottom w:val="none" w:sz="0" w:space="0" w:color="auto"/>
        <w:right w:val="none" w:sz="0" w:space="0" w:color="auto"/>
      </w:divBdr>
      <w:divsChild>
        <w:div w:id="1549297710">
          <w:marLeft w:val="0"/>
          <w:marRight w:val="0"/>
          <w:marTop w:val="0"/>
          <w:marBottom w:val="0"/>
          <w:divBdr>
            <w:top w:val="single" w:sz="2" w:space="0" w:color="E3E3E3"/>
            <w:left w:val="single" w:sz="2" w:space="0" w:color="E3E3E3"/>
            <w:bottom w:val="single" w:sz="2" w:space="0" w:color="E3E3E3"/>
            <w:right w:val="single" w:sz="2" w:space="0" w:color="E3E3E3"/>
          </w:divBdr>
          <w:divsChild>
            <w:div w:id="2096053845">
              <w:marLeft w:val="0"/>
              <w:marRight w:val="0"/>
              <w:marTop w:val="100"/>
              <w:marBottom w:val="100"/>
              <w:divBdr>
                <w:top w:val="single" w:sz="2" w:space="0" w:color="E3E3E3"/>
                <w:left w:val="single" w:sz="2" w:space="0" w:color="E3E3E3"/>
                <w:bottom w:val="single" w:sz="2" w:space="0" w:color="E3E3E3"/>
                <w:right w:val="single" w:sz="2" w:space="0" w:color="E3E3E3"/>
              </w:divBdr>
              <w:divsChild>
                <w:div w:id="2144620022">
                  <w:marLeft w:val="0"/>
                  <w:marRight w:val="0"/>
                  <w:marTop w:val="0"/>
                  <w:marBottom w:val="0"/>
                  <w:divBdr>
                    <w:top w:val="single" w:sz="2" w:space="0" w:color="E3E3E3"/>
                    <w:left w:val="single" w:sz="2" w:space="0" w:color="E3E3E3"/>
                    <w:bottom w:val="single" w:sz="2" w:space="0" w:color="E3E3E3"/>
                    <w:right w:val="single" w:sz="2" w:space="0" w:color="E3E3E3"/>
                  </w:divBdr>
                  <w:divsChild>
                    <w:div w:id="270742251">
                      <w:marLeft w:val="0"/>
                      <w:marRight w:val="0"/>
                      <w:marTop w:val="0"/>
                      <w:marBottom w:val="0"/>
                      <w:divBdr>
                        <w:top w:val="single" w:sz="2" w:space="0" w:color="E3E3E3"/>
                        <w:left w:val="single" w:sz="2" w:space="0" w:color="E3E3E3"/>
                        <w:bottom w:val="single" w:sz="2" w:space="0" w:color="E3E3E3"/>
                        <w:right w:val="single" w:sz="2" w:space="0" w:color="E3E3E3"/>
                      </w:divBdr>
                      <w:divsChild>
                        <w:div w:id="1237089653">
                          <w:marLeft w:val="0"/>
                          <w:marRight w:val="0"/>
                          <w:marTop w:val="0"/>
                          <w:marBottom w:val="0"/>
                          <w:divBdr>
                            <w:top w:val="single" w:sz="2" w:space="0" w:color="E3E3E3"/>
                            <w:left w:val="single" w:sz="2" w:space="0" w:color="E3E3E3"/>
                            <w:bottom w:val="single" w:sz="2" w:space="0" w:color="E3E3E3"/>
                            <w:right w:val="single" w:sz="2" w:space="0" w:color="E3E3E3"/>
                          </w:divBdr>
                          <w:divsChild>
                            <w:div w:id="1707833478">
                              <w:marLeft w:val="0"/>
                              <w:marRight w:val="0"/>
                              <w:marTop w:val="0"/>
                              <w:marBottom w:val="0"/>
                              <w:divBdr>
                                <w:top w:val="single" w:sz="2" w:space="0" w:color="E3E3E3"/>
                                <w:left w:val="single" w:sz="2" w:space="0" w:color="E3E3E3"/>
                                <w:bottom w:val="single" w:sz="2" w:space="0" w:color="E3E3E3"/>
                                <w:right w:val="single" w:sz="2" w:space="0" w:color="E3E3E3"/>
                              </w:divBdr>
                              <w:divsChild>
                                <w:div w:id="1452439730">
                                  <w:marLeft w:val="0"/>
                                  <w:marRight w:val="0"/>
                                  <w:marTop w:val="0"/>
                                  <w:marBottom w:val="0"/>
                                  <w:divBdr>
                                    <w:top w:val="single" w:sz="2" w:space="0" w:color="E3E3E3"/>
                                    <w:left w:val="single" w:sz="2" w:space="0" w:color="E3E3E3"/>
                                    <w:bottom w:val="single" w:sz="2" w:space="0" w:color="E3E3E3"/>
                                    <w:right w:val="single" w:sz="2" w:space="0" w:color="E3E3E3"/>
                                  </w:divBdr>
                                  <w:divsChild>
                                    <w:div w:id="12683425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440951045">
      <w:bodyDiv w:val="1"/>
      <w:marLeft w:val="0"/>
      <w:marRight w:val="0"/>
      <w:marTop w:val="0"/>
      <w:marBottom w:val="0"/>
      <w:divBdr>
        <w:top w:val="none" w:sz="0" w:space="0" w:color="auto"/>
        <w:left w:val="none" w:sz="0" w:space="0" w:color="auto"/>
        <w:bottom w:val="none" w:sz="0" w:space="0" w:color="auto"/>
        <w:right w:val="none" w:sz="0" w:space="0" w:color="auto"/>
      </w:divBdr>
    </w:div>
    <w:div w:id="1529903189">
      <w:bodyDiv w:val="1"/>
      <w:marLeft w:val="0"/>
      <w:marRight w:val="0"/>
      <w:marTop w:val="0"/>
      <w:marBottom w:val="0"/>
      <w:divBdr>
        <w:top w:val="none" w:sz="0" w:space="0" w:color="auto"/>
        <w:left w:val="none" w:sz="0" w:space="0" w:color="auto"/>
        <w:bottom w:val="none" w:sz="0" w:space="0" w:color="auto"/>
        <w:right w:val="none" w:sz="0" w:space="0" w:color="auto"/>
      </w:divBdr>
    </w:div>
    <w:div w:id="1678147372">
      <w:bodyDiv w:val="1"/>
      <w:marLeft w:val="0"/>
      <w:marRight w:val="0"/>
      <w:marTop w:val="0"/>
      <w:marBottom w:val="0"/>
      <w:divBdr>
        <w:top w:val="none" w:sz="0" w:space="0" w:color="auto"/>
        <w:left w:val="none" w:sz="0" w:space="0" w:color="auto"/>
        <w:bottom w:val="none" w:sz="0" w:space="0" w:color="auto"/>
        <w:right w:val="none" w:sz="0" w:space="0" w:color="auto"/>
      </w:divBdr>
    </w:div>
    <w:div w:id="1698772603">
      <w:bodyDiv w:val="1"/>
      <w:marLeft w:val="0"/>
      <w:marRight w:val="0"/>
      <w:marTop w:val="0"/>
      <w:marBottom w:val="0"/>
      <w:divBdr>
        <w:top w:val="none" w:sz="0" w:space="0" w:color="auto"/>
        <w:left w:val="none" w:sz="0" w:space="0" w:color="auto"/>
        <w:bottom w:val="none" w:sz="0" w:space="0" w:color="auto"/>
        <w:right w:val="none" w:sz="0" w:space="0" w:color="auto"/>
      </w:divBdr>
    </w:div>
    <w:div w:id="1731152998">
      <w:bodyDiv w:val="1"/>
      <w:marLeft w:val="0"/>
      <w:marRight w:val="0"/>
      <w:marTop w:val="0"/>
      <w:marBottom w:val="0"/>
      <w:divBdr>
        <w:top w:val="none" w:sz="0" w:space="0" w:color="auto"/>
        <w:left w:val="none" w:sz="0" w:space="0" w:color="auto"/>
        <w:bottom w:val="none" w:sz="0" w:space="0" w:color="auto"/>
        <w:right w:val="none" w:sz="0" w:space="0" w:color="auto"/>
      </w:divBdr>
      <w:divsChild>
        <w:div w:id="1224099840">
          <w:marLeft w:val="0"/>
          <w:marRight w:val="0"/>
          <w:marTop w:val="0"/>
          <w:marBottom w:val="0"/>
          <w:divBdr>
            <w:top w:val="none" w:sz="0" w:space="0" w:color="auto"/>
            <w:left w:val="none" w:sz="0" w:space="0" w:color="auto"/>
            <w:bottom w:val="none" w:sz="0" w:space="0" w:color="auto"/>
            <w:right w:val="none" w:sz="0" w:space="0" w:color="auto"/>
          </w:divBdr>
        </w:div>
        <w:div w:id="1247156934">
          <w:marLeft w:val="0"/>
          <w:marRight w:val="0"/>
          <w:marTop w:val="0"/>
          <w:marBottom w:val="0"/>
          <w:divBdr>
            <w:top w:val="none" w:sz="0" w:space="0" w:color="auto"/>
            <w:left w:val="none" w:sz="0" w:space="0" w:color="auto"/>
            <w:bottom w:val="none" w:sz="0" w:space="0" w:color="auto"/>
            <w:right w:val="none" w:sz="0" w:space="0" w:color="auto"/>
          </w:divBdr>
        </w:div>
        <w:div w:id="554119338">
          <w:marLeft w:val="0"/>
          <w:marRight w:val="0"/>
          <w:marTop w:val="0"/>
          <w:marBottom w:val="0"/>
          <w:divBdr>
            <w:top w:val="none" w:sz="0" w:space="0" w:color="auto"/>
            <w:left w:val="none" w:sz="0" w:space="0" w:color="auto"/>
            <w:bottom w:val="none" w:sz="0" w:space="0" w:color="auto"/>
            <w:right w:val="none" w:sz="0" w:space="0" w:color="auto"/>
          </w:divBdr>
        </w:div>
        <w:div w:id="79450134">
          <w:marLeft w:val="0"/>
          <w:marRight w:val="0"/>
          <w:marTop w:val="0"/>
          <w:marBottom w:val="0"/>
          <w:divBdr>
            <w:top w:val="none" w:sz="0" w:space="0" w:color="auto"/>
            <w:left w:val="none" w:sz="0" w:space="0" w:color="auto"/>
            <w:bottom w:val="none" w:sz="0" w:space="0" w:color="auto"/>
            <w:right w:val="none" w:sz="0" w:space="0" w:color="auto"/>
          </w:divBdr>
        </w:div>
        <w:div w:id="74134233">
          <w:marLeft w:val="0"/>
          <w:marRight w:val="0"/>
          <w:marTop w:val="0"/>
          <w:marBottom w:val="0"/>
          <w:divBdr>
            <w:top w:val="none" w:sz="0" w:space="0" w:color="auto"/>
            <w:left w:val="none" w:sz="0" w:space="0" w:color="auto"/>
            <w:bottom w:val="none" w:sz="0" w:space="0" w:color="auto"/>
            <w:right w:val="none" w:sz="0" w:space="0" w:color="auto"/>
          </w:divBdr>
        </w:div>
        <w:div w:id="1380125248">
          <w:marLeft w:val="0"/>
          <w:marRight w:val="0"/>
          <w:marTop w:val="0"/>
          <w:marBottom w:val="0"/>
          <w:divBdr>
            <w:top w:val="none" w:sz="0" w:space="0" w:color="auto"/>
            <w:left w:val="none" w:sz="0" w:space="0" w:color="auto"/>
            <w:bottom w:val="none" w:sz="0" w:space="0" w:color="auto"/>
            <w:right w:val="none" w:sz="0" w:space="0" w:color="auto"/>
          </w:divBdr>
        </w:div>
        <w:div w:id="1105076991">
          <w:marLeft w:val="0"/>
          <w:marRight w:val="0"/>
          <w:marTop w:val="0"/>
          <w:marBottom w:val="0"/>
          <w:divBdr>
            <w:top w:val="none" w:sz="0" w:space="0" w:color="auto"/>
            <w:left w:val="none" w:sz="0" w:space="0" w:color="auto"/>
            <w:bottom w:val="none" w:sz="0" w:space="0" w:color="auto"/>
            <w:right w:val="none" w:sz="0" w:space="0" w:color="auto"/>
          </w:divBdr>
        </w:div>
        <w:div w:id="724379519">
          <w:marLeft w:val="0"/>
          <w:marRight w:val="0"/>
          <w:marTop w:val="0"/>
          <w:marBottom w:val="0"/>
          <w:divBdr>
            <w:top w:val="none" w:sz="0" w:space="0" w:color="auto"/>
            <w:left w:val="none" w:sz="0" w:space="0" w:color="auto"/>
            <w:bottom w:val="none" w:sz="0" w:space="0" w:color="auto"/>
            <w:right w:val="none" w:sz="0" w:space="0" w:color="auto"/>
          </w:divBdr>
        </w:div>
        <w:div w:id="973413042">
          <w:marLeft w:val="0"/>
          <w:marRight w:val="0"/>
          <w:marTop w:val="0"/>
          <w:marBottom w:val="0"/>
          <w:divBdr>
            <w:top w:val="none" w:sz="0" w:space="0" w:color="auto"/>
            <w:left w:val="none" w:sz="0" w:space="0" w:color="auto"/>
            <w:bottom w:val="none" w:sz="0" w:space="0" w:color="auto"/>
            <w:right w:val="none" w:sz="0" w:space="0" w:color="auto"/>
          </w:divBdr>
        </w:div>
        <w:div w:id="639964601">
          <w:marLeft w:val="0"/>
          <w:marRight w:val="0"/>
          <w:marTop w:val="0"/>
          <w:marBottom w:val="0"/>
          <w:divBdr>
            <w:top w:val="none" w:sz="0" w:space="0" w:color="auto"/>
            <w:left w:val="none" w:sz="0" w:space="0" w:color="auto"/>
            <w:bottom w:val="none" w:sz="0" w:space="0" w:color="auto"/>
            <w:right w:val="none" w:sz="0" w:space="0" w:color="auto"/>
          </w:divBdr>
        </w:div>
        <w:div w:id="1793016590">
          <w:marLeft w:val="0"/>
          <w:marRight w:val="0"/>
          <w:marTop w:val="0"/>
          <w:marBottom w:val="0"/>
          <w:divBdr>
            <w:top w:val="none" w:sz="0" w:space="0" w:color="auto"/>
            <w:left w:val="none" w:sz="0" w:space="0" w:color="auto"/>
            <w:bottom w:val="none" w:sz="0" w:space="0" w:color="auto"/>
            <w:right w:val="none" w:sz="0" w:space="0" w:color="auto"/>
          </w:divBdr>
        </w:div>
        <w:div w:id="511995839">
          <w:marLeft w:val="0"/>
          <w:marRight w:val="0"/>
          <w:marTop w:val="0"/>
          <w:marBottom w:val="0"/>
          <w:divBdr>
            <w:top w:val="none" w:sz="0" w:space="0" w:color="auto"/>
            <w:left w:val="none" w:sz="0" w:space="0" w:color="auto"/>
            <w:bottom w:val="none" w:sz="0" w:space="0" w:color="auto"/>
            <w:right w:val="none" w:sz="0" w:space="0" w:color="auto"/>
          </w:divBdr>
        </w:div>
        <w:div w:id="197818368">
          <w:marLeft w:val="0"/>
          <w:marRight w:val="0"/>
          <w:marTop w:val="0"/>
          <w:marBottom w:val="0"/>
          <w:divBdr>
            <w:top w:val="none" w:sz="0" w:space="0" w:color="auto"/>
            <w:left w:val="none" w:sz="0" w:space="0" w:color="auto"/>
            <w:bottom w:val="none" w:sz="0" w:space="0" w:color="auto"/>
            <w:right w:val="none" w:sz="0" w:space="0" w:color="auto"/>
          </w:divBdr>
        </w:div>
        <w:div w:id="1099643307">
          <w:marLeft w:val="0"/>
          <w:marRight w:val="0"/>
          <w:marTop w:val="0"/>
          <w:marBottom w:val="0"/>
          <w:divBdr>
            <w:top w:val="none" w:sz="0" w:space="0" w:color="auto"/>
            <w:left w:val="none" w:sz="0" w:space="0" w:color="auto"/>
            <w:bottom w:val="none" w:sz="0" w:space="0" w:color="auto"/>
            <w:right w:val="none" w:sz="0" w:space="0" w:color="auto"/>
          </w:divBdr>
        </w:div>
      </w:divsChild>
    </w:div>
    <w:div w:id="1767925091">
      <w:bodyDiv w:val="1"/>
      <w:marLeft w:val="0"/>
      <w:marRight w:val="0"/>
      <w:marTop w:val="0"/>
      <w:marBottom w:val="0"/>
      <w:divBdr>
        <w:top w:val="none" w:sz="0" w:space="0" w:color="auto"/>
        <w:left w:val="none" w:sz="0" w:space="0" w:color="auto"/>
        <w:bottom w:val="none" w:sz="0" w:space="0" w:color="auto"/>
        <w:right w:val="none" w:sz="0" w:space="0" w:color="auto"/>
      </w:divBdr>
    </w:div>
    <w:div w:id="1774089859">
      <w:bodyDiv w:val="1"/>
      <w:marLeft w:val="0"/>
      <w:marRight w:val="0"/>
      <w:marTop w:val="0"/>
      <w:marBottom w:val="0"/>
      <w:divBdr>
        <w:top w:val="none" w:sz="0" w:space="0" w:color="auto"/>
        <w:left w:val="none" w:sz="0" w:space="0" w:color="auto"/>
        <w:bottom w:val="none" w:sz="0" w:space="0" w:color="auto"/>
        <w:right w:val="none" w:sz="0" w:space="0" w:color="auto"/>
      </w:divBdr>
    </w:div>
    <w:div w:id="1785417093">
      <w:bodyDiv w:val="1"/>
      <w:marLeft w:val="0"/>
      <w:marRight w:val="0"/>
      <w:marTop w:val="0"/>
      <w:marBottom w:val="0"/>
      <w:divBdr>
        <w:top w:val="none" w:sz="0" w:space="0" w:color="auto"/>
        <w:left w:val="none" w:sz="0" w:space="0" w:color="auto"/>
        <w:bottom w:val="none" w:sz="0" w:space="0" w:color="auto"/>
        <w:right w:val="none" w:sz="0" w:space="0" w:color="auto"/>
      </w:divBdr>
    </w:div>
    <w:div w:id="1791430536">
      <w:bodyDiv w:val="1"/>
      <w:marLeft w:val="0"/>
      <w:marRight w:val="0"/>
      <w:marTop w:val="0"/>
      <w:marBottom w:val="0"/>
      <w:divBdr>
        <w:top w:val="none" w:sz="0" w:space="0" w:color="auto"/>
        <w:left w:val="none" w:sz="0" w:space="0" w:color="auto"/>
        <w:bottom w:val="none" w:sz="0" w:space="0" w:color="auto"/>
        <w:right w:val="none" w:sz="0" w:space="0" w:color="auto"/>
      </w:divBdr>
    </w:div>
    <w:div w:id="1824664784">
      <w:bodyDiv w:val="1"/>
      <w:marLeft w:val="0"/>
      <w:marRight w:val="0"/>
      <w:marTop w:val="0"/>
      <w:marBottom w:val="0"/>
      <w:divBdr>
        <w:top w:val="none" w:sz="0" w:space="0" w:color="auto"/>
        <w:left w:val="none" w:sz="0" w:space="0" w:color="auto"/>
        <w:bottom w:val="none" w:sz="0" w:space="0" w:color="auto"/>
        <w:right w:val="none" w:sz="0" w:space="0" w:color="auto"/>
      </w:divBdr>
      <w:divsChild>
        <w:div w:id="528180057">
          <w:marLeft w:val="288"/>
          <w:marRight w:val="0"/>
          <w:marTop w:val="60"/>
          <w:marBottom w:val="0"/>
          <w:divBdr>
            <w:top w:val="none" w:sz="0" w:space="0" w:color="auto"/>
            <w:left w:val="none" w:sz="0" w:space="0" w:color="auto"/>
            <w:bottom w:val="none" w:sz="0" w:space="0" w:color="auto"/>
            <w:right w:val="none" w:sz="0" w:space="0" w:color="auto"/>
          </w:divBdr>
        </w:div>
      </w:divsChild>
    </w:div>
    <w:div w:id="1870951879">
      <w:bodyDiv w:val="1"/>
      <w:marLeft w:val="0"/>
      <w:marRight w:val="0"/>
      <w:marTop w:val="0"/>
      <w:marBottom w:val="0"/>
      <w:divBdr>
        <w:top w:val="none" w:sz="0" w:space="0" w:color="auto"/>
        <w:left w:val="none" w:sz="0" w:space="0" w:color="auto"/>
        <w:bottom w:val="none" w:sz="0" w:space="0" w:color="auto"/>
        <w:right w:val="none" w:sz="0" w:space="0" w:color="auto"/>
      </w:divBdr>
    </w:div>
    <w:div w:id="1888832277">
      <w:bodyDiv w:val="1"/>
      <w:marLeft w:val="0"/>
      <w:marRight w:val="0"/>
      <w:marTop w:val="0"/>
      <w:marBottom w:val="0"/>
      <w:divBdr>
        <w:top w:val="none" w:sz="0" w:space="0" w:color="auto"/>
        <w:left w:val="none" w:sz="0" w:space="0" w:color="auto"/>
        <w:bottom w:val="none" w:sz="0" w:space="0" w:color="auto"/>
        <w:right w:val="none" w:sz="0" w:space="0" w:color="auto"/>
      </w:divBdr>
    </w:div>
    <w:div w:id="1903906780">
      <w:bodyDiv w:val="1"/>
      <w:marLeft w:val="0"/>
      <w:marRight w:val="0"/>
      <w:marTop w:val="0"/>
      <w:marBottom w:val="0"/>
      <w:divBdr>
        <w:top w:val="none" w:sz="0" w:space="0" w:color="auto"/>
        <w:left w:val="none" w:sz="0" w:space="0" w:color="auto"/>
        <w:bottom w:val="none" w:sz="0" w:space="0" w:color="auto"/>
        <w:right w:val="none" w:sz="0" w:space="0" w:color="auto"/>
      </w:divBdr>
    </w:div>
    <w:div w:id="1931158747">
      <w:bodyDiv w:val="1"/>
      <w:marLeft w:val="0"/>
      <w:marRight w:val="0"/>
      <w:marTop w:val="0"/>
      <w:marBottom w:val="0"/>
      <w:divBdr>
        <w:top w:val="none" w:sz="0" w:space="0" w:color="auto"/>
        <w:left w:val="none" w:sz="0" w:space="0" w:color="auto"/>
        <w:bottom w:val="none" w:sz="0" w:space="0" w:color="auto"/>
        <w:right w:val="none" w:sz="0" w:space="0" w:color="auto"/>
      </w:divBdr>
    </w:div>
    <w:div w:id="1996950513">
      <w:bodyDiv w:val="1"/>
      <w:marLeft w:val="0"/>
      <w:marRight w:val="0"/>
      <w:marTop w:val="0"/>
      <w:marBottom w:val="0"/>
      <w:divBdr>
        <w:top w:val="none" w:sz="0" w:space="0" w:color="auto"/>
        <w:left w:val="none" w:sz="0" w:space="0" w:color="auto"/>
        <w:bottom w:val="none" w:sz="0" w:space="0" w:color="auto"/>
        <w:right w:val="none" w:sz="0" w:space="0" w:color="auto"/>
      </w:divBdr>
    </w:div>
    <w:div w:id="2025087019">
      <w:bodyDiv w:val="1"/>
      <w:marLeft w:val="0"/>
      <w:marRight w:val="0"/>
      <w:marTop w:val="0"/>
      <w:marBottom w:val="0"/>
      <w:divBdr>
        <w:top w:val="none" w:sz="0" w:space="0" w:color="auto"/>
        <w:left w:val="none" w:sz="0" w:space="0" w:color="auto"/>
        <w:bottom w:val="none" w:sz="0" w:space="0" w:color="auto"/>
        <w:right w:val="none" w:sz="0" w:space="0" w:color="auto"/>
      </w:divBdr>
      <w:divsChild>
        <w:div w:id="671421268">
          <w:marLeft w:val="274"/>
          <w:marRight w:val="0"/>
          <w:marTop w:val="141"/>
          <w:marBottom w:val="0"/>
          <w:divBdr>
            <w:top w:val="none" w:sz="0" w:space="0" w:color="auto"/>
            <w:left w:val="none" w:sz="0" w:space="0" w:color="auto"/>
            <w:bottom w:val="none" w:sz="0" w:space="0" w:color="auto"/>
            <w:right w:val="none" w:sz="0" w:space="0" w:color="auto"/>
          </w:divBdr>
        </w:div>
      </w:divsChild>
    </w:div>
    <w:div w:id="2035766668">
      <w:bodyDiv w:val="1"/>
      <w:marLeft w:val="0"/>
      <w:marRight w:val="0"/>
      <w:marTop w:val="0"/>
      <w:marBottom w:val="0"/>
      <w:divBdr>
        <w:top w:val="none" w:sz="0" w:space="0" w:color="auto"/>
        <w:left w:val="none" w:sz="0" w:space="0" w:color="auto"/>
        <w:bottom w:val="none" w:sz="0" w:space="0" w:color="auto"/>
        <w:right w:val="none" w:sz="0" w:space="0" w:color="auto"/>
      </w:divBdr>
    </w:div>
    <w:div w:id="210457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robert.stankiewicz@gpw.pl"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gpw.pl" TargetMode="External"/><Relationship Id="rId14" Type="http://schemas.openxmlformats.org/officeDocument/2006/relationships/hyperlink" Target="mailto:press@gp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9263484a-4811-448b-b935-4ccfcdbbdeea" origin="userSelected">
  <element uid="697367d0-0d11-4d4e-80a2-256155fcabe6" value=""/>
  <element uid="d9569de3-fae5-4e2d-a5c1-e0a5a3c84173" value=""/>
</sisl>
</file>

<file path=customXml/itemProps1.xml><?xml version="1.0" encoding="utf-8"?>
<ds:datastoreItem xmlns:ds="http://schemas.openxmlformats.org/officeDocument/2006/customXml" ds:itemID="{5ECD2DA9-3DB3-450F-BED7-7F926F8C0168}">
  <ds:schemaRefs>
    <ds:schemaRef ds:uri="http://schemas.openxmlformats.org/officeDocument/2006/bibliography"/>
  </ds:schemaRefs>
</ds:datastoreItem>
</file>

<file path=customXml/itemProps2.xml><?xml version="1.0" encoding="utf-8"?>
<ds:datastoreItem xmlns:ds="http://schemas.openxmlformats.org/officeDocument/2006/customXml" ds:itemID="{D8224782-01D5-41D1-A7E7-1CFFED06AB7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1723</Words>
  <Characters>9827</Characters>
  <Application>Microsoft Office Word</Application>
  <DocSecurity>2</DocSecurity>
  <Lines>81</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Szkoła Paulina</dc:creator>
  <cp:keywords>#Kategoria: [Wewnętrzne/Nie zawiera danych osobowych]# </cp:keywords>
  <dc:description/>
  <cp:lastModifiedBy>Marcin Lakomski</cp:lastModifiedBy>
  <cp:revision>54</cp:revision>
  <cp:lastPrinted>2025-11-17T16:10:00Z</cp:lastPrinted>
  <dcterms:created xsi:type="dcterms:W3CDTF">2025-11-17T16:43:00Z</dcterms:created>
  <dcterms:modified xsi:type="dcterms:W3CDTF">2025-11-18T07:49:00Z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cda03aed-6581-4405-8775-546def9f09f0</vt:lpwstr>
  </property>
  <property fmtid="{D5CDD505-2E9C-101B-9397-08002B2CF9AE}" pid="3" name="bjSaver">
    <vt:lpwstr>EP3QaiaTrDrOJqg3Tz6pBwL+Dt8eJ+oK</vt:lpwstr>
  </property>
  <property fmtid="{D5CDD505-2E9C-101B-9397-08002B2CF9AE}" pid="4" name="bjDocumentLabelXML">
    <vt:lpwstr>&lt;?xml version="1.0" encoding="us-ascii"?&gt;&lt;sisl xmlns:xsd="http://www.w3.org/2001/XMLSchema" xmlns:xsi="http://www.w3.org/2001/XMLSchema-instance" sislVersion="0" policy="9263484a-4811-448b-b935-4ccfcdbbdeea" origin="userSelected" xmlns="http://www.boldonj</vt:lpwstr>
  </property>
  <property fmtid="{D5CDD505-2E9C-101B-9397-08002B2CF9AE}" pid="5" name="bjDocumentLabelXML-0">
    <vt:lpwstr>ames.com/2008/01/sie/internal/label"&gt;&lt;element uid="697367d0-0d11-4d4e-80a2-256155fcabe6" value="" /&gt;&lt;element uid="d9569de3-fae5-4e2d-a5c1-e0a5a3c84173" value="" /&gt;&lt;/sisl&gt;</vt:lpwstr>
  </property>
  <property fmtid="{D5CDD505-2E9C-101B-9397-08002B2CF9AE}" pid="6" name="bjDocumentSecurityLabel">
    <vt:lpwstr>Kategoria: Wewnętrzne/Nie zawiera danych osobowych</vt:lpwstr>
  </property>
  <property fmtid="{D5CDD505-2E9C-101B-9397-08002B2CF9AE}" pid="7" name="MSIP_Label_57107849-8452-4419-a686-7fb029cd7cb4_Enabled">
    <vt:lpwstr>true</vt:lpwstr>
  </property>
  <property fmtid="{D5CDD505-2E9C-101B-9397-08002B2CF9AE}" pid="8" name="MSIP_Label_57107849-8452-4419-a686-7fb029cd7cb4_SetDate">
    <vt:lpwstr>2025-10-31T15:49:35Z</vt:lpwstr>
  </property>
  <property fmtid="{D5CDD505-2E9C-101B-9397-08002B2CF9AE}" pid="9" name="MSIP_Label_57107849-8452-4419-a686-7fb029cd7cb4_Method">
    <vt:lpwstr>Privileged</vt:lpwstr>
  </property>
  <property fmtid="{D5CDD505-2E9C-101B-9397-08002B2CF9AE}" pid="10" name="MSIP_Label_57107849-8452-4419-a686-7fb029cd7cb4_Name">
    <vt:lpwstr>Publiczne Dane osobowe powyżej 10 wpisów</vt:lpwstr>
  </property>
  <property fmtid="{D5CDD505-2E9C-101B-9397-08002B2CF9AE}" pid="11" name="MSIP_Label_57107849-8452-4419-a686-7fb029cd7cb4_SiteId">
    <vt:lpwstr>a340375a-1ea0-4cdd-8a49-9cd1039ff159</vt:lpwstr>
  </property>
  <property fmtid="{D5CDD505-2E9C-101B-9397-08002B2CF9AE}" pid="12" name="MSIP_Label_57107849-8452-4419-a686-7fb029cd7cb4_ActionId">
    <vt:lpwstr>c6ecd512-bc7c-4331-90fd-89d0ce2a1c42</vt:lpwstr>
  </property>
  <property fmtid="{D5CDD505-2E9C-101B-9397-08002B2CF9AE}" pid="13" name="MSIP_Label_57107849-8452-4419-a686-7fb029cd7cb4_ContentBits">
    <vt:lpwstr>0</vt:lpwstr>
  </property>
  <property fmtid="{D5CDD505-2E9C-101B-9397-08002B2CF9AE}" pid="14" name="MSIP_Label_57107849-8452-4419-a686-7fb029cd7cb4_Tag">
    <vt:lpwstr>10, 0, 1, 2</vt:lpwstr>
  </property>
</Properties>
</file>